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C1A4C" w:rsidRDefault="00E5006C" w:rsidP="00662202">
      <w:pPr>
        <w:spacing w:after="0" w:line="240" w:lineRule="auto"/>
        <w:rPr>
          <w:b/>
          <w:u w:val="single"/>
        </w:rPr>
      </w:pPr>
      <w:bookmarkStart w:id="0" w:name="_GoBack"/>
      <w:bookmarkEnd w:id="0"/>
      <w:r w:rsidRPr="00360A88">
        <w:rPr>
          <w:b/>
          <w:u w:val="single"/>
        </w:rPr>
        <w:t>Treatment of Capacity in the CDCM</w:t>
      </w:r>
    </w:p>
    <w:p w:rsidR="00662202" w:rsidRPr="00360A88" w:rsidRDefault="00662202" w:rsidP="00662202">
      <w:pPr>
        <w:spacing w:after="0" w:line="240" w:lineRule="auto"/>
        <w:rPr>
          <w:b/>
          <w:u w:val="single"/>
        </w:rPr>
      </w:pPr>
    </w:p>
    <w:p w:rsidR="0025116E" w:rsidRDefault="0025116E" w:rsidP="00662202">
      <w:pPr>
        <w:spacing w:after="0" w:line="240" w:lineRule="auto"/>
      </w:pPr>
      <w:r>
        <w:t>Throughout this document, table and paragraph numbering is used which aligns with the CDCM DCUSA legal text.</w:t>
      </w:r>
    </w:p>
    <w:p w:rsidR="0025116E" w:rsidRDefault="0025116E" w:rsidP="00662202">
      <w:pPr>
        <w:spacing w:after="0" w:line="240" w:lineRule="auto"/>
      </w:pPr>
    </w:p>
    <w:p w:rsidR="00662202" w:rsidRPr="0025116E" w:rsidRDefault="0025116E" w:rsidP="00662202">
      <w:pPr>
        <w:spacing w:after="0" w:line="240" w:lineRule="auto"/>
      </w:pPr>
      <w:r>
        <w:t xml:space="preserve"> The table below, from the CDCM, </w:t>
      </w:r>
      <w:r w:rsidRPr="0025116E">
        <w:t>lists the different categories of costs allocated in the CDCM</w:t>
      </w:r>
      <w:r>
        <w:t xml:space="preserve"> and the levels they apply to:</w:t>
      </w:r>
    </w:p>
    <w:p w:rsidR="0025116E" w:rsidRPr="00360A88" w:rsidRDefault="0025116E" w:rsidP="00662202">
      <w:pPr>
        <w:spacing w:after="0" w:line="240" w:lineRule="auto"/>
        <w:rPr>
          <w:b/>
        </w:rPr>
      </w:pPr>
    </w:p>
    <w:p w:rsidR="00E5006C" w:rsidRPr="00360A88" w:rsidRDefault="00E5006C" w:rsidP="00662202">
      <w:pPr>
        <w:spacing w:after="0" w:line="240" w:lineRule="auto"/>
        <w:rPr>
          <w:b/>
        </w:rPr>
      </w:pPr>
      <w:r w:rsidRPr="00360A88">
        <w:rPr>
          <w:b/>
          <w:bCs/>
        </w:rPr>
        <w:t>Table 2 Categories of unit costs in the model</w:t>
      </w:r>
    </w:p>
    <w:tbl>
      <w:tblPr>
        <w:tblStyle w:val="TableGrid"/>
        <w:tblW w:w="9322" w:type="dxa"/>
        <w:tblLook w:val="04A0" w:firstRow="1" w:lastRow="0" w:firstColumn="1" w:lastColumn="0" w:noHBand="0" w:noVBand="1"/>
      </w:tblPr>
      <w:tblGrid>
        <w:gridCol w:w="2330"/>
        <w:gridCol w:w="2331"/>
        <w:gridCol w:w="2330"/>
        <w:gridCol w:w="2331"/>
      </w:tblGrid>
      <w:tr w:rsidR="00E5006C" w:rsidRPr="00360A88" w:rsidTr="00E5006C">
        <w:tc>
          <w:tcPr>
            <w:tcW w:w="2330" w:type="dxa"/>
          </w:tcPr>
          <w:p w:rsidR="00E5006C" w:rsidRPr="00360A88" w:rsidRDefault="00E5006C" w:rsidP="00662202">
            <w:r w:rsidRPr="00360A88">
              <w:t>Category</w:t>
            </w:r>
          </w:p>
        </w:tc>
        <w:tc>
          <w:tcPr>
            <w:tcW w:w="2331" w:type="dxa"/>
          </w:tcPr>
          <w:p w:rsidR="00E5006C" w:rsidRPr="00360A88" w:rsidRDefault="00E5006C" w:rsidP="00662202">
            <w:r w:rsidRPr="00360A88">
              <w:t>Description</w:t>
            </w:r>
          </w:p>
        </w:tc>
        <w:tc>
          <w:tcPr>
            <w:tcW w:w="2330" w:type="dxa"/>
          </w:tcPr>
          <w:p w:rsidR="00E5006C" w:rsidRPr="00360A88" w:rsidRDefault="00E5006C" w:rsidP="00662202">
            <w:r w:rsidRPr="00360A88">
              <w:t>Unit</w:t>
            </w:r>
          </w:p>
        </w:tc>
        <w:tc>
          <w:tcPr>
            <w:tcW w:w="2331" w:type="dxa"/>
          </w:tcPr>
          <w:p w:rsidR="00E5006C" w:rsidRPr="00360A88" w:rsidRDefault="00E5006C" w:rsidP="00662202">
            <w:r w:rsidRPr="00360A88">
              <w:t>Levels</w:t>
            </w:r>
          </w:p>
        </w:tc>
      </w:tr>
      <w:tr w:rsidR="00E5006C" w:rsidRPr="00360A88" w:rsidTr="00E5006C">
        <w:tc>
          <w:tcPr>
            <w:tcW w:w="2330" w:type="dxa"/>
          </w:tcPr>
          <w:p w:rsidR="00E5006C" w:rsidRPr="00360A88" w:rsidRDefault="00E5006C" w:rsidP="00662202">
            <w:r w:rsidRPr="00360A88">
              <w:t>Network assets</w:t>
            </w:r>
          </w:p>
        </w:tc>
        <w:tc>
          <w:tcPr>
            <w:tcW w:w="2331" w:type="dxa"/>
          </w:tcPr>
          <w:p w:rsidR="00E5006C" w:rsidRPr="00662202" w:rsidRDefault="00E5006C" w:rsidP="00662202">
            <w:pPr>
              <w:pStyle w:val="Default"/>
              <w:rPr>
                <w:rFonts w:asciiTheme="minorHAnsi" w:hAnsiTheme="minorHAnsi"/>
                <w:sz w:val="22"/>
                <w:szCs w:val="22"/>
              </w:rPr>
            </w:pPr>
            <w:r w:rsidRPr="00662202">
              <w:rPr>
                <w:rFonts w:asciiTheme="minorHAnsi" w:hAnsiTheme="minorHAnsi"/>
                <w:sz w:val="22"/>
                <w:szCs w:val="22"/>
              </w:rPr>
              <w:t xml:space="preserve">Amortisation and return on capital for networks or substations at each level, excluding assets that are deemed to be covered by customer contributions. </w:t>
            </w:r>
          </w:p>
          <w:p w:rsidR="00E5006C" w:rsidRPr="00662202" w:rsidRDefault="00E5006C" w:rsidP="00662202">
            <w:r w:rsidRPr="00662202">
              <w:t>This is expressed per kW of system simultaneous maximum load.</w:t>
            </w:r>
          </w:p>
        </w:tc>
        <w:tc>
          <w:tcPr>
            <w:tcW w:w="2330" w:type="dxa"/>
          </w:tcPr>
          <w:p w:rsidR="00E5006C" w:rsidRPr="00360A88" w:rsidRDefault="00E5006C" w:rsidP="00662202">
            <w:r w:rsidRPr="00360A88">
              <w:t>£/kW/year</w:t>
            </w:r>
          </w:p>
        </w:tc>
        <w:tc>
          <w:tcPr>
            <w:tcW w:w="2331" w:type="dxa"/>
          </w:tcPr>
          <w:p w:rsidR="00662202" w:rsidRDefault="00E5006C" w:rsidP="00662202">
            <w:r w:rsidRPr="00360A88">
              <w:t xml:space="preserve">132kV </w:t>
            </w:r>
          </w:p>
          <w:p w:rsidR="00E5006C" w:rsidRPr="00360A88" w:rsidRDefault="00E5006C" w:rsidP="00662202">
            <w:r w:rsidRPr="00360A88">
              <w:t xml:space="preserve">132kV/EHV </w:t>
            </w:r>
          </w:p>
          <w:p w:rsidR="00E5006C" w:rsidRPr="00360A88" w:rsidRDefault="00E5006C" w:rsidP="00662202">
            <w:r w:rsidRPr="00360A88">
              <w:t xml:space="preserve">EHV </w:t>
            </w:r>
          </w:p>
          <w:p w:rsidR="00662202" w:rsidRDefault="00E5006C" w:rsidP="00662202">
            <w:r w:rsidRPr="00360A88">
              <w:t xml:space="preserve">EHV/HV </w:t>
            </w:r>
          </w:p>
          <w:p w:rsidR="00E5006C" w:rsidRPr="00360A88" w:rsidRDefault="00E5006C" w:rsidP="00662202">
            <w:r w:rsidRPr="00360A88">
              <w:t xml:space="preserve">132kV/HV </w:t>
            </w:r>
          </w:p>
          <w:p w:rsidR="00E5006C" w:rsidRPr="00360A88" w:rsidRDefault="00E5006C" w:rsidP="00662202">
            <w:r w:rsidRPr="00360A88">
              <w:t xml:space="preserve">HV </w:t>
            </w:r>
          </w:p>
          <w:p w:rsidR="00E5006C" w:rsidRPr="00360A88" w:rsidRDefault="00E5006C" w:rsidP="00662202">
            <w:r w:rsidRPr="00360A88">
              <w:t xml:space="preserve">HV/LV </w:t>
            </w:r>
          </w:p>
          <w:p w:rsidR="00E5006C" w:rsidRPr="00360A88" w:rsidRDefault="00E5006C" w:rsidP="00662202">
            <w:r w:rsidRPr="00360A88">
              <w:t>LV circuits</w:t>
            </w:r>
          </w:p>
        </w:tc>
      </w:tr>
      <w:tr w:rsidR="00E5006C" w:rsidRPr="00360A88" w:rsidTr="00E5006C">
        <w:tc>
          <w:tcPr>
            <w:tcW w:w="2330" w:type="dxa"/>
          </w:tcPr>
          <w:p w:rsidR="00E5006C" w:rsidRPr="00360A88" w:rsidRDefault="00E5006C" w:rsidP="00662202">
            <w:r w:rsidRPr="00360A88">
              <w:t>Transmission exit</w:t>
            </w:r>
          </w:p>
        </w:tc>
        <w:tc>
          <w:tcPr>
            <w:tcW w:w="2331" w:type="dxa"/>
          </w:tcPr>
          <w:p w:rsidR="00E5006C" w:rsidRPr="00662202" w:rsidRDefault="00E5006C" w:rsidP="00662202">
            <w:r w:rsidRPr="00662202">
              <w:t>Expressed per kW of system simultaneous maximum load</w:t>
            </w:r>
          </w:p>
        </w:tc>
        <w:tc>
          <w:tcPr>
            <w:tcW w:w="2330" w:type="dxa"/>
          </w:tcPr>
          <w:p w:rsidR="00E5006C" w:rsidRPr="00360A88" w:rsidRDefault="00E5006C" w:rsidP="00662202">
            <w:r w:rsidRPr="00360A88">
              <w:t>£/kW/year</w:t>
            </w:r>
          </w:p>
        </w:tc>
        <w:tc>
          <w:tcPr>
            <w:tcW w:w="2331" w:type="dxa"/>
          </w:tcPr>
          <w:p w:rsidR="00E5006C" w:rsidRPr="00360A88" w:rsidRDefault="00E5006C" w:rsidP="00662202">
            <w:r w:rsidRPr="00360A88">
              <w:t>Transmission exit</w:t>
            </w:r>
          </w:p>
        </w:tc>
      </w:tr>
      <w:tr w:rsidR="00E5006C" w:rsidRPr="00360A88" w:rsidTr="00E5006C">
        <w:tc>
          <w:tcPr>
            <w:tcW w:w="2330" w:type="dxa"/>
          </w:tcPr>
          <w:p w:rsidR="00E5006C" w:rsidRPr="00360A88" w:rsidRDefault="00E5006C" w:rsidP="00662202">
            <w:r w:rsidRPr="00360A88">
              <w:t>Other expenditure</w:t>
            </w:r>
          </w:p>
        </w:tc>
        <w:tc>
          <w:tcPr>
            <w:tcW w:w="2331" w:type="dxa"/>
          </w:tcPr>
          <w:p w:rsidR="00E5006C" w:rsidRPr="00662202" w:rsidRDefault="00E5006C" w:rsidP="00662202">
            <w:r w:rsidRPr="00662202">
              <w:t>Other expenditure is attributed to levels and assets in the network following the rules set out below.</w:t>
            </w:r>
          </w:p>
          <w:p w:rsidR="00360A88" w:rsidRPr="00662202" w:rsidRDefault="00360A88" w:rsidP="00662202"/>
          <w:p w:rsidR="00360A88" w:rsidRPr="00662202" w:rsidRDefault="00E5006C" w:rsidP="00662202">
            <w:r w:rsidRPr="00662202">
              <w:t>The part allocated to network levels is expressed per kW of system simultaneous maximum load.</w:t>
            </w:r>
          </w:p>
          <w:p w:rsidR="00360A88" w:rsidRPr="00662202" w:rsidRDefault="00360A88" w:rsidP="00662202"/>
          <w:p w:rsidR="00E5006C" w:rsidRPr="00662202" w:rsidRDefault="00E5006C" w:rsidP="00662202">
            <w:r w:rsidRPr="00662202">
              <w:t>The part of other expenditure allocated to assets dedicated to one customer is expressed per user for each user type.</w:t>
            </w:r>
          </w:p>
        </w:tc>
        <w:tc>
          <w:tcPr>
            <w:tcW w:w="2330" w:type="dxa"/>
          </w:tcPr>
          <w:p w:rsidR="00E5006C" w:rsidRPr="00360A88" w:rsidRDefault="00360A88" w:rsidP="00662202">
            <w:r>
              <w:t>£</w:t>
            </w:r>
            <w:r w:rsidR="00E5006C" w:rsidRPr="00360A88">
              <w:t>/kW/year</w:t>
            </w:r>
          </w:p>
          <w:p w:rsidR="00E5006C" w:rsidRDefault="00E5006C" w:rsidP="00662202"/>
          <w:p w:rsidR="00360A88" w:rsidRDefault="00360A88" w:rsidP="00662202"/>
          <w:p w:rsidR="00360A88" w:rsidRDefault="00360A88" w:rsidP="00662202"/>
          <w:p w:rsidR="00360A88" w:rsidRDefault="00360A88" w:rsidP="00662202"/>
          <w:p w:rsidR="00360A88" w:rsidRDefault="00360A88" w:rsidP="00662202"/>
          <w:p w:rsidR="00360A88" w:rsidRDefault="00360A88" w:rsidP="00662202"/>
          <w:p w:rsidR="00360A88" w:rsidRDefault="00360A88" w:rsidP="00662202"/>
          <w:p w:rsidR="00360A88" w:rsidRDefault="00360A88" w:rsidP="00662202"/>
          <w:p w:rsidR="00360A88" w:rsidRDefault="00360A88" w:rsidP="00662202"/>
          <w:p w:rsidR="00662202" w:rsidRDefault="00662202" w:rsidP="00662202"/>
          <w:p w:rsidR="00360A88" w:rsidRDefault="00360A88" w:rsidP="00662202"/>
          <w:p w:rsidR="00360A88" w:rsidRPr="00360A88" w:rsidRDefault="00360A88" w:rsidP="00662202">
            <w:r w:rsidRPr="00360A88">
              <w:t>£/year</w:t>
            </w:r>
          </w:p>
        </w:tc>
        <w:tc>
          <w:tcPr>
            <w:tcW w:w="2331" w:type="dxa"/>
          </w:tcPr>
          <w:p w:rsidR="00360A88" w:rsidRDefault="00E5006C" w:rsidP="00662202">
            <w:r w:rsidRPr="00360A88">
              <w:t xml:space="preserve">132kV </w:t>
            </w:r>
          </w:p>
          <w:p w:rsidR="00E5006C" w:rsidRPr="00360A88" w:rsidRDefault="00E5006C" w:rsidP="00662202">
            <w:r w:rsidRPr="00360A88">
              <w:t xml:space="preserve">132kV/EHV </w:t>
            </w:r>
          </w:p>
          <w:p w:rsidR="00E5006C" w:rsidRPr="00360A88" w:rsidRDefault="00E5006C" w:rsidP="00662202">
            <w:r w:rsidRPr="00360A88">
              <w:t xml:space="preserve">EHV </w:t>
            </w:r>
          </w:p>
          <w:p w:rsidR="00360A88" w:rsidRDefault="00E5006C" w:rsidP="00662202">
            <w:r w:rsidRPr="00360A88">
              <w:t xml:space="preserve">EHV/HV </w:t>
            </w:r>
          </w:p>
          <w:p w:rsidR="00E5006C" w:rsidRPr="00360A88" w:rsidRDefault="00E5006C" w:rsidP="00662202">
            <w:r w:rsidRPr="00360A88">
              <w:t xml:space="preserve">132kV/HV </w:t>
            </w:r>
          </w:p>
          <w:p w:rsidR="00E5006C" w:rsidRPr="00360A88" w:rsidRDefault="00E5006C" w:rsidP="00662202">
            <w:r w:rsidRPr="00360A88">
              <w:t xml:space="preserve">HV </w:t>
            </w:r>
          </w:p>
          <w:p w:rsidR="00E5006C" w:rsidRPr="00360A88" w:rsidRDefault="00E5006C" w:rsidP="00662202">
            <w:r w:rsidRPr="00360A88">
              <w:t xml:space="preserve">HV/LV </w:t>
            </w:r>
          </w:p>
          <w:p w:rsidR="00E5006C" w:rsidRPr="00360A88" w:rsidRDefault="00E5006C" w:rsidP="00662202">
            <w:r w:rsidRPr="00360A88">
              <w:t>LV circuits</w:t>
            </w:r>
          </w:p>
          <w:p w:rsidR="00E5006C" w:rsidRDefault="00E5006C" w:rsidP="00662202"/>
          <w:p w:rsidR="00360A88" w:rsidRDefault="00360A88" w:rsidP="00662202"/>
          <w:p w:rsidR="00360A88" w:rsidRDefault="00360A88" w:rsidP="00662202"/>
          <w:p w:rsidR="00360A88" w:rsidRPr="00360A88" w:rsidRDefault="00360A88" w:rsidP="00662202"/>
          <w:p w:rsidR="00E5006C" w:rsidRPr="00360A88" w:rsidRDefault="00E5006C" w:rsidP="00662202">
            <w:pPr>
              <w:pStyle w:val="Default"/>
              <w:rPr>
                <w:rFonts w:asciiTheme="minorHAnsi" w:hAnsiTheme="minorHAnsi"/>
                <w:sz w:val="22"/>
                <w:szCs w:val="22"/>
              </w:rPr>
            </w:pPr>
            <w:r w:rsidRPr="00360A88">
              <w:rPr>
                <w:rFonts w:asciiTheme="minorHAnsi" w:hAnsiTheme="minorHAnsi"/>
                <w:sz w:val="22"/>
                <w:szCs w:val="22"/>
              </w:rPr>
              <w:t xml:space="preserve">For each type of user </w:t>
            </w:r>
          </w:p>
          <w:p w:rsidR="00E5006C" w:rsidRPr="00360A88" w:rsidRDefault="00E5006C" w:rsidP="00662202"/>
          <w:p w:rsidR="00E5006C" w:rsidRPr="00360A88" w:rsidRDefault="00E5006C" w:rsidP="00662202"/>
        </w:tc>
      </w:tr>
    </w:tbl>
    <w:p w:rsidR="00316C09" w:rsidRPr="00316C09" w:rsidRDefault="009152AF" w:rsidP="00662202">
      <w:pPr>
        <w:spacing w:after="0" w:line="240" w:lineRule="auto"/>
        <w:rPr>
          <w:b/>
        </w:rPr>
      </w:pPr>
      <w:r>
        <w:rPr>
          <w:b/>
          <w:bCs/>
          <w:noProof/>
          <w:sz w:val="23"/>
          <w:szCs w:val="23"/>
        </w:rPr>
        <mc:AlternateContent>
          <mc:Choice Requires="wps">
            <w:drawing>
              <wp:anchor distT="0" distB="0" distL="114300" distR="114300" simplePos="0" relativeHeight="251663360" behindDoc="0" locked="0" layoutInCell="1" allowOverlap="1">
                <wp:simplePos x="0" y="0"/>
                <wp:positionH relativeFrom="column">
                  <wp:posOffset>-104775</wp:posOffset>
                </wp:positionH>
                <wp:positionV relativeFrom="paragraph">
                  <wp:posOffset>100965</wp:posOffset>
                </wp:positionV>
                <wp:extent cx="6679565" cy="782955"/>
                <wp:effectExtent l="9525" t="13970" r="6985" b="12700"/>
                <wp:wrapNone/>
                <wp:docPr id="8"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79565" cy="782955"/>
                        </a:xfrm>
                        <a:prstGeom prst="rect">
                          <a:avLst/>
                        </a:prstGeom>
                        <a:solidFill>
                          <a:srgbClr val="FFFFFF"/>
                        </a:solidFill>
                        <a:ln w="9525">
                          <a:solidFill>
                            <a:srgbClr val="000000"/>
                          </a:solidFill>
                          <a:miter lim="800000"/>
                          <a:headEnd/>
                          <a:tailEnd/>
                        </a:ln>
                      </wps:spPr>
                      <wps:txbx>
                        <w:txbxContent>
                          <w:p w:rsidR="00321D5F" w:rsidRDefault="00321D5F" w:rsidP="00303BF4">
                            <w:pPr>
                              <w:shd w:val="clear" w:color="auto" w:fill="FFC000"/>
                              <w:spacing w:after="0" w:line="240" w:lineRule="auto"/>
                            </w:pPr>
                            <w:r>
                              <w:t xml:space="preserve">There are 3 categories of costs allocated in the CDCM (network costs, transmission exit and other). </w:t>
                            </w:r>
                          </w:p>
                          <w:p w:rsidR="00321D5F" w:rsidRDefault="00321D5F" w:rsidP="00303BF4">
                            <w:pPr>
                              <w:shd w:val="clear" w:color="auto" w:fill="FFC000"/>
                              <w:spacing w:after="0" w:line="240" w:lineRule="auto"/>
                            </w:pPr>
                            <w:r>
                              <w:t>Network costs apply to all distribution network levels</w:t>
                            </w:r>
                          </w:p>
                          <w:p w:rsidR="00321D5F" w:rsidRDefault="00321D5F" w:rsidP="00303BF4">
                            <w:pPr>
                              <w:shd w:val="clear" w:color="auto" w:fill="FFC000"/>
                              <w:spacing w:after="0" w:line="240" w:lineRule="auto"/>
                            </w:pPr>
                            <w:r>
                              <w:t>Transmission Exit costs applies to transmission level only</w:t>
                            </w:r>
                          </w:p>
                          <w:p w:rsidR="00321D5F" w:rsidRDefault="00321D5F" w:rsidP="00303BF4">
                            <w:pPr>
                              <w:shd w:val="clear" w:color="auto" w:fill="FFC000"/>
                              <w:spacing w:after="0" w:line="240" w:lineRule="auto"/>
                            </w:pPr>
                            <w:r>
                              <w:t>Other costs apply partly to each distribution network level and partly to dedicated assets for each type of user.</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type id="_x0000_t202" coordsize="21600,21600" o:spt="202" path="m,l,21600r21600,l21600,xe">
                <v:stroke joinstyle="miter"/>
                <v:path gradientshapeok="t" o:connecttype="rect"/>
              </v:shapetype>
              <v:shape id="Text Box 7" o:spid="_x0000_s1026" type="#_x0000_t202" style="position:absolute;margin-left:-8.25pt;margin-top:7.95pt;width:525.95pt;height:61.65pt;z-index:251663360;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tQL1KAIAAFAEAAAOAAAAZHJzL2Uyb0RvYy54bWysVNuO2jAQfa/Uf7D8XgKIwBIRVlu2VJW2&#10;F2m3HzA4TmLVt9qGZPv1HTuB0ttL1TxYHnt8ZuacmWxueyXJiTsvjC7pbDKlhGtmKqGbkn5+2r+6&#10;ocQH0BVIo3lJn7mnt9uXLzadLfjctEZW3BEE0b7obEnbEGyRZZ61XIGfGMs1XtbGKQhouiarHHSI&#10;rmQ2n06XWWdcZZ1h3Hs8vR8u6Tbh1zVn4WNdex6ILCnmFtLq0nqIa7bdQNE4sK1gYxrwD1koEBqD&#10;XqDuIQA5OvEblBLMGW/qMGFGZaauBeOpBqxmNv2lmscWLE+1IDneXmjy/w+WfTh9ckRUJUWhNCiU&#10;6In3gbw2PVlFdjrrC3R6tOgWejxGlVOl3j4Y9sUTbXYt6IbfOWe6lkOF2c3iy+zq6YDjI8ihe28q&#10;DAPHYBJQXzsVqUMyCKKjSs8XZWIqDA+Xy9U6X+aUMLxb3czXeZ5CQHF+bZ0Pb7lRJG5K6lD5hA6n&#10;Bx9iNlCcXWIwb6So9kLKZLjmsJOOnAC7ZJ++Ef0nN6lJV9J1Ps8HAv4KMU3fnyCUCNjuUijk++IE&#10;RaTtja5SMwYQcthjylKPPEbqBhJDf+hHXQ6mekZGnRnaGscQN61x3yjpsKVL6r8ewXFK5DuNqqxn&#10;i0WcgWQs8tUcDXd9c7i+Ac0QqqSBkmG7C8PcHK0TTYuRzn1wh0ruRSI5Sj5kNeaNbZu4H0cszsW1&#10;nbx+/Ai23wEAAP//AwBQSwMEFAAGAAgAAAAhAD4Wr3XfAAAACwEAAA8AAABkcnMvZG93bnJldi54&#10;bWxMj8FOwzAMhu9IvENkJC7Tlm4lFStNJ5i0E6eVcc8a01Y0TmmyrXt7vBPcbP2ffn8uNpPrxRnH&#10;0HnSsFwkIJBqbztqNBw+dvNnECEasqb3hBquGGBT3t8VJrf+Qns8V7ERXEIhNxraGIdcylC36ExY&#10;+AGJsy8/OhN5HRtpR3PhctfLVZJk0pmO+EJrBty2WH9XJ6ch+6nS2funndH+unsba6fs9qC0fnyY&#10;Xl9ARJziHww3fVaHkp2O/kQ2iF7DfJkpRjlQaxA3IEnVE4gjT+l6BbIs5P8fyl8AAAD//wMAUEsB&#10;Ai0AFAAGAAgAAAAhALaDOJL+AAAA4QEAABMAAAAAAAAAAAAAAAAAAAAAAFtDb250ZW50X1R5cGVz&#10;XS54bWxQSwECLQAUAAYACAAAACEAOP0h/9YAAACUAQAACwAAAAAAAAAAAAAAAAAvAQAAX3JlbHMv&#10;LnJlbHNQSwECLQAUAAYACAAAACEAk7UC9SgCAABQBAAADgAAAAAAAAAAAAAAAAAuAgAAZHJzL2Uy&#10;b0RvYy54bWxQSwECLQAUAAYACAAAACEAPhavdd8AAAALAQAADwAAAAAAAAAAAAAAAACCBAAAZHJz&#10;L2Rvd25yZXYueG1sUEsFBgAAAAAEAAQA8wAAAI4FAAAAAA==&#10;">
                <v:textbox style="mso-fit-shape-to-text:t">
                  <w:txbxContent>
                    <w:p w:rsidR="00321D5F" w:rsidRDefault="00321D5F" w:rsidP="00303BF4">
                      <w:pPr>
                        <w:shd w:val="clear" w:color="auto" w:fill="FFC000"/>
                        <w:spacing w:after="0" w:line="240" w:lineRule="auto"/>
                      </w:pPr>
                      <w:r>
                        <w:t xml:space="preserve">There are 3 categories of costs allocated in the CDCM (network costs, transmission exit and other). </w:t>
                      </w:r>
                    </w:p>
                    <w:p w:rsidR="00321D5F" w:rsidRDefault="00321D5F" w:rsidP="00303BF4">
                      <w:pPr>
                        <w:shd w:val="clear" w:color="auto" w:fill="FFC000"/>
                        <w:spacing w:after="0" w:line="240" w:lineRule="auto"/>
                      </w:pPr>
                      <w:r>
                        <w:t>Network costs apply to all distribution network levels</w:t>
                      </w:r>
                    </w:p>
                    <w:p w:rsidR="00321D5F" w:rsidRDefault="00321D5F" w:rsidP="00303BF4">
                      <w:pPr>
                        <w:shd w:val="clear" w:color="auto" w:fill="FFC000"/>
                        <w:spacing w:after="0" w:line="240" w:lineRule="auto"/>
                      </w:pPr>
                      <w:r>
                        <w:t>Transmission Exit costs applies to transmission level only</w:t>
                      </w:r>
                    </w:p>
                    <w:p w:rsidR="00321D5F" w:rsidRDefault="00321D5F" w:rsidP="00303BF4">
                      <w:pPr>
                        <w:shd w:val="clear" w:color="auto" w:fill="FFC000"/>
                        <w:spacing w:after="0" w:line="240" w:lineRule="auto"/>
                      </w:pPr>
                      <w:r>
                        <w:t>Other costs apply partly to each distribution network level and partly to dedicated assets for each type of user.</w:t>
                      </w:r>
                    </w:p>
                  </w:txbxContent>
                </v:textbox>
              </v:shape>
            </w:pict>
          </mc:Fallback>
        </mc:AlternateContent>
      </w:r>
    </w:p>
    <w:p w:rsidR="0025116E" w:rsidRDefault="0025116E" w:rsidP="00662202">
      <w:pPr>
        <w:spacing w:after="0" w:line="240" w:lineRule="auto"/>
        <w:rPr>
          <w:b/>
          <w:bCs/>
          <w:sz w:val="23"/>
          <w:szCs w:val="23"/>
        </w:rPr>
      </w:pPr>
    </w:p>
    <w:p w:rsidR="00316C09" w:rsidRDefault="00316C09" w:rsidP="00662202">
      <w:pPr>
        <w:spacing w:after="0" w:line="240" w:lineRule="auto"/>
        <w:rPr>
          <w:b/>
          <w:bCs/>
          <w:sz w:val="23"/>
          <w:szCs w:val="23"/>
        </w:rPr>
      </w:pPr>
    </w:p>
    <w:p w:rsidR="00316C09" w:rsidRDefault="00316C09" w:rsidP="00662202">
      <w:pPr>
        <w:spacing w:after="0" w:line="240" w:lineRule="auto"/>
        <w:rPr>
          <w:b/>
          <w:bCs/>
          <w:sz w:val="23"/>
          <w:szCs w:val="23"/>
        </w:rPr>
      </w:pPr>
    </w:p>
    <w:p w:rsidR="00316C09" w:rsidRDefault="00316C09" w:rsidP="00662202">
      <w:pPr>
        <w:spacing w:after="0" w:line="240" w:lineRule="auto"/>
        <w:rPr>
          <w:b/>
          <w:bCs/>
          <w:sz w:val="23"/>
          <w:szCs w:val="23"/>
        </w:rPr>
      </w:pPr>
    </w:p>
    <w:p w:rsidR="00316C09" w:rsidRDefault="00316C09" w:rsidP="00662202">
      <w:pPr>
        <w:spacing w:after="0" w:line="240" w:lineRule="auto"/>
        <w:rPr>
          <w:b/>
          <w:bCs/>
          <w:sz w:val="23"/>
          <w:szCs w:val="23"/>
        </w:rPr>
      </w:pPr>
    </w:p>
    <w:p w:rsidR="00662202" w:rsidRDefault="00662202" w:rsidP="00662202">
      <w:pPr>
        <w:spacing w:after="0" w:line="240" w:lineRule="auto"/>
        <w:rPr>
          <w:b/>
          <w:bCs/>
          <w:sz w:val="23"/>
          <w:szCs w:val="23"/>
        </w:rPr>
      </w:pPr>
      <w:r>
        <w:rPr>
          <w:b/>
          <w:bCs/>
          <w:sz w:val="23"/>
          <w:szCs w:val="23"/>
        </w:rPr>
        <w:t>Determination of unit costs from network model</w:t>
      </w:r>
    </w:p>
    <w:p w:rsidR="00662202" w:rsidRPr="00662202" w:rsidRDefault="00662202" w:rsidP="00662202">
      <w:pPr>
        <w:spacing w:after="0" w:line="240" w:lineRule="auto"/>
        <w:rPr>
          <w:bCs/>
          <w:sz w:val="23"/>
          <w:szCs w:val="23"/>
        </w:rPr>
      </w:pPr>
      <w:r w:rsidRPr="00662202">
        <w:rPr>
          <w:bCs/>
          <w:sz w:val="23"/>
          <w:szCs w:val="23"/>
        </w:rPr>
        <w:t>59. The asset value and unit cost for that network level are obtained by dividing the annuitised cost of purchasing and installing the assets in the network model by this exit flow at time of system simultaneous maximum load.</w:t>
      </w:r>
    </w:p>
    <w:p w:rsidR="00662202" w:rsidRPr="00662202" w:rsidRDefault="00662202" w:rsidP="00662202">
      <w:pPr>
        <w:spacing w:after="0" w:line="240" w:lineRule="auto"/>
        <w:rPr>
          <w:bCs/>
          <w:sz w:val="23"/>
          <w:szCs w:val="23"/>
        </w:rPr>
      </w:pPr>
      <w:r w:rsidRPr="00662202">
        <w:rPr>
          <w:bCs/>
          <w:sz w:val="23"/>
          <w:szCs w:val="23"/>
        </w:rPr>
        <w:t>[network level assets £/kW] = [assets £]/[modelled exit flow at time of system simultaneous maximum load kW]</w:t>
      </w:r>
    </w:p>
    <w:p w:rsidR="00662202" w:rsidRDefault="00662202" w:rsidP="00662202">
      <w:pPr>
        <w:spacing w:after="0" w:line="240" w:lineRule="auto"/>
        <w:rPr>
          <w:bCs/>
          <w:sz w:val="23"/>
          <w:szCs w:val="23"/>
        </w:rPr>
      </w:pPr>
      <w:r w:rsidRPr="00662202">
        <w:rPr>
          <w:bCs/>
          <w:sz w:val="23"/>
          <w:szCs w:val="23"/>
        </w:rPr>
        <w:t>[network level £/kW/year] = [network level assets £/kW]*[annuity factor]</w:t>
      </w:r>
    </w:p>
    <w:p w:rsidR="00303BF4" w:rsidRDefault="00303BF4" w:rsidP="00662202">
      <w:pPr>
        <w:spacing w:after="0" w:line="240" w:lineRule="auto"/>
        <w:rPr>
          <w:bCs/>
          <w:sz w:val="23"/>
          <w:szCs w:val="23"/>
        </w:rPr>
      </w:pPr>
    </w:p>
    <w:p w:rsidR="00662202" w:rsidRDefault="00662202" w:rsidP="00662202">
      <w:pPr>
        <w:spacing w:after="0" w:line="240" w:lineRule="auto"/>
        <w:rPr>
          <w:bCs/>
          <w:sz w:val="23"/>
          <w:szCs w:val="23"/>
        </w:rPr>
      </w:pPr>
    </w:p>
    <w:p w:rsidR="00662202" w:rsidRDefault="009152AF" w:rsidP="00662202">
      <w:pPr>
        <w:spacing w:after="0" w:line="240" w:lineRule="auto"/>
        <w:rPr>
          <w:bCs/>
          <w:sz w:val="23"/>
          <w:szCs w:val="23"/>
        </w:rPr>
      </w:pPr>
      <w:r>
        <w:rPr>
          <w:b/>
          <w:bCs/>
          <w:noProof/>
          <w:sz w:val="23"/>
          <w:szCs w:val="23"/>
        </w:rPr>
        <w:lastRenderedPageBreak/>
        <mc:AlternateContent>
          <mc:Choice Requires="wps">
            <w:drawing>
              <wp:anchor distT="0" distB="0" distL="114300" distR="114300" simplePos="0" relativeHeight="251661312" behindDoc="0" locked="0" layoutInCell="1" allowOverlap="1">
                <wp:simplePos x="0" y="0"/>
                <wp:positionH relativeFrom="column">
                  <wp:posOffset>-28575</wp:posOffset>
                </wp:positionH>
                <wp:positionV relativeFrom="paragraph">
                  <wp:posOffset>57150</wp:posOffset>
                </wp:positionV>
                <wp:extent cx="6597015" cy="782955"/>
                <wp:effectExtent l="9525" t="9525" r="13335" b="7620"/>
                <wp:wrapNone/>
                <wp:docPr id="7"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97015" cy="782955"/>
                        </a:xfrm>
                        <a:prstGeom prst="rect">
                          <a:avLst/>
                        </a:prstGeom>
                        <a:solidFill>
                          <a:srgbClr val="FFFFFF"/>
                        </a:solidFill>
                        <a:ln w="9525">
                          <a:solidFill>
                            <a:srgbClr val="000000"/>
                          </a:solidFill>
                          <a:miter lim="800000"/>
                          <a:headEnd/>
                          <a:tailEnd/>
                        </a:ln>
                      </wps:spPr>
                      <wps:txbx>
                        <w:txbxContent>
                          <w:p w:rsidR="00321D5F" w:rsidRDefault="00321D5F" w:rsidP="00303BF4">
                            <w:pPr>
                              <w:shd w:val="clear" w:color="auto" w:fill="FFC000"/>
                              <w:spacing w:after="0" w:line="240" w:lineRule="auto"/>
                            </w:pPr>
                            <w:r>
                              <w:t xml:space="preserve">The above describes the derivation of the £/kW/yr unit costs for each network level for the ‘network assets’ category of costs – these unit costs are expressed by reference to SMD. The values are contained in table </w:t>
                            </w:r>
                            <w:r w:rsidRPr="00662202">
                              <w:t>2109</w:t>
                            </w:r>
                            <w:r>
                              <w:t xml:space="preserve"> of the CDCM model (</w:t>
                            </w:r>
                            <w:r w:rsidRPr="00662202">
                              <w:t>Network model annuity by simultaneous maximum load for each network level (£/kW/year)</w:t>
                            </w:r>
                            <w:r>
                              <w:t>). Capacity does not appear to be relevant to this calculation.</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id="Text Box 3" o:spid="_x0000_s1027" type="#_x0000_t202" style="position:absolute;margin-left:-2.25pt;margin-top:4.5pt;width:519.45pt;height:61.65pt;z-index:251661312;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uP6JLAIAAFcEAAAOAAAAZHJzL2Uyb0RvYy54bWysVNtu2zAMfR+wfxD0vtjJ4iYx4hRdugwD&#10;ugvQ7gNkWbaFyaImKbGzrx8lJ2l2exnmB4EUqUPykPT6dugUOQjrJOiCTicpJUJzqKRuCvrlafdq&#10;SYnzTFdMgRYFPQpHbzcvX6x7k4sZtKAqYQmCaJf3pqCt9yZPEsdb0TE3ASM0GmuwHfOo2iapLOsR&#10;vVPJLE1vkh5sZSxw4Rze3o9Guon4dS24/1TXTniiCoq5+XjaeJbhTDZrljeWmVbyUxrsH7LomNQY&#10;9AJ1zzwjeyt/g+okt+Cg9hMOXQJ1LbmINWA10/SXah5bZkSsBclx5kKT+3+w/OPhsyWyKuiCEs06&#10;bNGTGDx5AwN5HdjpjcvR6dGgmx/wGrscK3XmAfhXRzRsW6YbcWct9K1gFWY3DS+Tq6cjjgsgZf8B&#10;KgzD9h4i0FDbLlCHZBBExy4dL50JqXC8vMlWi3SaUcLRtljOVlkWQ7D8/NpY598J6EgQCmqx8xGd&#10;HR6cD9mw/OwSgjlQstpJpaJim3KrLDkwnJJd/E7oP7kpTfqCrrJZNhLwV4g0fn+C6KTHcVeyK+jy&#10;4sTyQNtbXcVh9EyqUcaUlT7xGKgbSfRDOcSGRZIDxyVURyTWwjjduI0otGC/U9LjZBfUfdszKyhR&#10;7zU2ZzWdz8MqRGWeLWao2GtLeW1hmiNUQT0lo7j14/rsjZVNi5HO43CHDd3JyPVzVqf0cXpjC06b&#10;FtbjWo9ez/+DzQ8AAAD//wMAUEsDBBQABgAIAAAAIQCHQoBI3gAAAAkBAAAPAAAAZHJzL2Rvd25y&#10;ZXYueG1sTI/BTsMwEETvSPyDtUhcqtahSSoIcSqo1BOnhnJ34yWJiNfBdtv079me6G1HM5p9U64n&#10;O4gT+tA7UvC0SEAgNc701CrYf27nzyBC1GT04AgVXDDAurq/K3Vh3Jl2eKpjK7iEQqEVdDGOhZSh&#10;6dDqsHAjEnvfzlsdWfpWGq/PXG4HuUySlbS6J/7Q6RE3HTY/9dEqWP3W6ezjy8xod9m++8bmZrPP&#10;lXp8mN5eQUSc4n8YrviMDhUzHdyRTBCDgnmWc1LBCy+62kmaZSAOfKXLFGRVytsF1R8AAAD//wMA&#10;UEsBAi0AFAAGAAgAAAAhALaDOJL+AAAA4QEAABMAAAAAAAAAAAAAAAAAAAAAAFtDb250ZW50X1R5&#10;cGVzXS54bWxQSwECLQAUAAYACAAAACEAOP0h/9YAAACUAQAACwAAAAAAAAAAAAAAAAAvAQAAX3Jl&#10;bHMvLnJlbHNQSwECLQAUAAYACAAAACEA+rj+iSwCAABXBAAADgAAAAAAAAAAAAAAAAAuAgAAZHJz&#10;L2Uyb0RvYy54bWxQSwECLQAUAAYACAAAACEAh0KASN4AAAAJAQAADwAAAAAAAAAAAAAAAACGBAAA&#10;ZHJzL2Rvd25yZXYueG1sUEsFBgAAAAAEAAQA8wAAAJEFAAAAAA==&#10;">
                <v:textbox style="mso-fit-shape-to-text:t">
                  <w:txbxContent>
                    <w:p w:rsidR="00321D5F" w:rsidRDefault="00321D5F" w:rsidP="00303BF4">
                      <w:pPr>
                        <w:shd w:val="clear" w:color="auto" w:fill="FFC000"/>
                        <w:spacing w:after="0" w:line="240" w:lineRule="auto"/>
                      </w:pPr>
                      <w:r>
                        <w:t xml:space="preserve">The above describes the derivation of the £/kW/yr unit costs for each network level for the ‘network assets’ category of costs – these unit costs are expressed by reference to SMD. The values are contained in table </w:t>
                      </w:r>
                      <w:r w:rsidRPr="00662202">
                        <w:t>2109</w:t>
                      </w:r>
                      <w:r>
                        <w:t xml:space="preserve"> of the CDCM model (</w:t>
                      </w:r>
                      <w:r w:rsidRPr="00662202">
                        <w:t>Network model annuity by simultaneous maximum load for each network level (£/kW/year)</w:t>
                      </w:r>
                      <w:r>
                        <w:t>). Capacity does not appear to be relevant to this calculation.</w:t>
                      </w:r>
                    </w:p>
                  </w:txbxContent>
                </v:textbox>
              </v:shape>
            </w:pict>
          </mc:Fallback>
        </mc:AlternateContent>
      </w:r>
    </w:p>
    <w:p w:rsidR="00662202" w:rsidRDefault="00662202" w:rsidP="00662202">
      <w:pPr>
        <w:spacing w:after="0" w:line="240" w:lineRule="auto"/>
        <w:rPr>
          <w:bCs/>
          <w:sz w:val="23"/>
          <w:szCs w:val="23"/>
        </w:rPr>
      </w:pPr>
    </w:p>
    <w:p w:rsidR="00662202" w:rsidRDefault="00662202" w:rsidP="00662202">
      <w:pPr>
        <w:spacing w:after="0" w:line="240" w:lineRule="auto"/>
        <w:rPr>
          <w:bCs/>
          <w:sz w:val="23"/>
          <w:szCs w:val="23"/>
        </w:rPr>
      </w:pPr>
    </w:p>
    <w:p w:rsidR="00662202" w:rsidRPr="00662202" w:rsidRDefault="00662202" w:rsidP="00662202">
      <w:pPr>
        <w:spacing w:after="0" w:line="240" w:lineRule="auto"/>
        <w:rPr>
          <w:bCs/>
          <w:sz w:val="23"/>
          <w:szCs w:val="23"/>
        </w:rPr>
      </w:pPr>
    </w:p>
    <w:p w:rsidR="00662202" w:rsidRDefault="00662202" w:rsidP="00662202">
      <w:pPr>
        <w:spacing w:after="0" w:line="240" w:lineRule="auto"/>
        <w:rPr>
          <w:b/>
          <w:bCs/>
          <w:sz w:val="23"/>
          <w:szCs w:val="23"/>
        </w:rPr>
      </w:pPr>
    </w:p>
    <w:p w:rsidR="00316C09" w:rsidRDefault="00316C09" w:rsidP="00662202">
      <w:pPr>
        <w:spacing w:after="0" w:line="240" w:lineRule="auto"/>
        <w:rPr>
          <w:b/>
          <w:bCs/>
          <w:sz w:val="23"/>
          <w:szCs w:val="23"/>
        </w:rPr>
      </w:pPr>
    </w:p>
    <w:p w:rsidR="00662202" w:rsidRDefault="00662202" w:rsidP="00662202">
      <w:pPr>
        <w:spacing w:after="0" w:line="240" w:lineRule="auto"/>
      </w:pPr>
      <w:r>
        <w:rPr>
          <w:b/>
          <w:bCs/>
          <w:sz w:val="23"/>
          <w:szCs w:val="23"/>
        </w:rPr>
        <w:t>Allocation of costs on the basis of contribution to system simultaneous maximum load</w:t>
      </w:r>
    </w:p>
    <w:p w:rsidR="00B260D0" w:rsidRDefault="00B260D0" w:rsidP="00B260D0">
      <w:pPr>
        <w:spacing w:after="0" w:line="240" w:lineRule="auto"/>
      </w:pPr>
      <w:r>
        <w:t>61. Estimated load at each network level is calculated from:</w:t>
      </w:r>
    </w:p>
    <w:p w:rsidR="00B260D0" w:rsidRDefault="00B260D0" w:rsidP="00B260D0">
      <w:pPr>
        <w:spacing w:after="0" w:line="240" w:lineRule="auto"/>
      </w:pPr>
      <w:r>
        <w:t>a) volume forecasts for each tariff;</w:t>
      </w:r>
    </w:p>
    <w:p w:rsidR="00B260D0" w:rsidRDefault="00B260D0" w:rsidP="00B260D0">
      <w:pPr>
        <w:spacing w:after="0" w:line="240" w:lineRule="auto"/>
      </w:pPr>
      <w:r>
        <w:t>b) the loss adjustment factors representative of the time of system simultaneous maximum load;</w:t>
      </w:r>
    </w:p>
    <w:p w:rsidR="00B260D0" w:rsidRDefault="00B260D0" w:rsidP="00B260D0">
      <w:pPr>
        <w:spacing w:after="0" w:line="240" w:lineRule="auto"/>
      </w:pPr>
      <w:r>
        <w:t>c) the load characteristics for users on each tariff, used to estimate the contribution of each user category to load at the time of system simultaneous maximum load.</w:t>
      </w:r>
    </w:p>
    <w:p w:rsidR="00B260D0" w:rsidRDefault="00B260D0" w:rsidP="00B260D0">
      <w:pPr>
        <w:spacing w:after="0" w:line="240" w:lineRule="auto"/>
      </w:pPr>
    </w:p>
    <w:p w:rsidR="00B260D0" w:rsidRDefault="00B260D0" w:rsidP="00B260D0">
      <w:pPr>
        <w:spacing w:after="0" w:line="240" w:lineRule="auto"/>
      </w:pPr>
      <w:r w:rsidRPr="00360A88">
        <w:t xml:space="preserve">62. For the purposes of this calculation, a generation user is taken to make a zero contribution to load at the network level corresponding to circuits at its Entry Point, and a full negative contribution to load at all network levels above its Entry Point. </w:t>
      </w:r>
      <w:r w:rsidRPr="00303BF4">
        <w:t>For demand users, account is taken of differences between the diversity allowance in the network model and the diversity of each customer group in order to ensure that the estimated load matches the volumes subject to charges in respect of each network level.</w:t>
      </w:r>
    </w:p>
    <w:p w:rsidR="00B260D0" w:rsidRDefault="00B260D0" w:rsidP="00B260D0">
      <w:pPr>
        <w:spacing w:after="0" w:line="240" w:lineRule="auto"/>
      </w:pPr>
    </w:p>
    <w:p w:rsidR="00B260D0" w:rsidRDefault="00B260D0" w:rsidP="00B260D0">
      <w:pPr>
        <w:spacing w:after="0" w:line="240" w:lineRule="auto"/>
      </w:pPr>
      <w:r>
        <w:t>63. For each network level covered by the network model, a notional asset value is calculated by multiplying the unit asset cost by the estimated load:</w:t>
      </w:r>
    </w:p>
    <w:p w:rsidR="00B260D0" w:rsidRDefault="00B260D0" w:rsidP="00B260D0">
      <w:pPr>
        <w:spacing w:after="0" w:line="240" w:lineRule="auto"/>
      </w:pPr>
      <w:r>
        <w:t xml:space="preserve"> [notional asset value £] = [network level assets £/kW]*</w:t>
      </w:r>
      <w:r w:rsidRPr="001338C1">
        <w:rPr>
          <w:highlight w:val="yellow"/>
        </w:rPr>
        <w:t>[estimated load kW]</w:t>
      </w:r>
    </w:p>
    <w:p w:rsidR="00214B9F" w:rsidRDefault="009152AF" w:rsidP="00B260D0">
      <w:pPr>
        <w:spacing w:after="0" w:line="240" w:lineRule="auto"/>
      </w:pPr>
      <w:r>
        <w:rPr>
          <w:noProof/>
        </w:rPr>
        <mc:AlternateContent>
          <mc:Choice Requires="wps">
            <w:drawing>
              <wp:anchor distT="0" distB="0" distL="114300" distR="114300" simplePos="0" relativeHeight="251660288" behindDoc="0" locked="0" layoutInCell="1" allowOverlap="1">
                <wp:simplePos x="0" y="0"/>
                <wp:positionH relativeFrom="column">
                  <wp:posOffset>-22860</wp:posOffset>
                </wp:positionH>
                <wp:positionV relativeFrom="paragraph">
                  <wp:posOffset>89535</wp:posOffset>
                </wp:positionV>
                <wp:extent cx="6785610" cy="2886075"/>
                <wp:effectExtent l="5715" t="9525" r="9525" b="9525"/>
                <wp:wrapNone/>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85610" cy="2886075"/>
                        </a:xfrm>
                        <a:prstGeom prst="rect">
                          <a:avLst/>
                        </a:prstGeom>
                        <a:solidFill>
                          <a:srgbClr val="FFFFFF"/>
                        </a:solidFill>
                        <a:ln w="9525">
                          <a:solidFill>
                            <a:srgbClr val="000000"/>
                          </a:solidFill>
                          <a:miter lim="800000"/>
                          <a:headEnd/>
                          <a:tailEnd/>
                        </a:ln>
                      </wps:spPr>
                      <wps:txbx>
                        <w:txbxContent>
                          <w:p w:rsidR="00321D5F" w:rsidRDefault="00321D5F" w:rsidP="00EC4335">
                            <w:pPr>
                              <w:shd w:val="clear" w:color="auto" w:fill="FFC000"/>
                              <w:spacing w:after="0" w:line="240" w:lineRule="auto"/>
                            </w:pPr>
                            <w:r>
                              <w:t xml:space="preserve">‘Other’ costs are allocated to each network level on the basis of notional asset value </w:t>
                            </w:r>
                          </w:p>
                          <w:p w:rsidR="00321D5F" w:rsidRDefault="00321D5F" w:rsidP="00EC4335">
                            <w:pPr>
                              <w:shd w:val="clear" w:color="auto" w:fill="FFC000"/>
                              <w:spacing w:after="0" w:line="240" w:lineRule="auto"/>
                            </w:pPr>
                            <w:r>
                              <w:t xml:space="preserve">For the purpose of calculating a notional asset value for each network level the estimated load is not the pure SMD, but rather the ‘SMD adjusted for standing charge factors’. </w:t>
                            </w:r>
                          </w:p>
                          <w:p w:rsidR="00321D5F" w:rsidRDefault="00321D5F" w:rsidP="00EC4335">
                            <w:pPr>
                              <w:shd w:val="clear" w:color="auto" w:fill="FFC000"/>
                              <w:spacing w:after="0" w:line="240" w:lineRule="auto"/>
                            </w:pPr>
                          </w:p>
                          <w:p w:rsidR="00321D5F" w:rsidRDefault="00321D5F" w:rsidP="00EC4335">
                            <w:pPr>
                              <w:shd w:val="clear" w:color="auto" w:fill="FFC000"/>
                              <w:spacing w:after="0" w:line="240" w:lineRule="auto"/>
                            </w:pPr>
                            <w:r>
                              <w:t>The ‘SMD adjusted for standing charge factors’ differs from the pure SMD by replacing, for each network level , the pure SMD with a diversified aggregate capacity calculated as follows (see table 2613 in model):</w:t>
                            </w:r>
                          </w:p>
                          <w:p w:rsidR="00321D5F" w:rsidRDefault="00321D5F" w:rsidP="00EC4335">
                            <w:pPr>
                              <w:pStyle w:val="ListParagraph"/>
                              <w:numPr>
                                <w:ilvl w:val="0"/>
                                <w:numId w:val="2"/>
                              </w:numPr>
                              <w:shd w:val="clear" w:color="auto" w:fill="FFC000"/>
                              <w:spacing w:after="0" w:line="240" w:lineRule="auto"/>
                            </w:pPr>
                            <w:r>
                              <w:t>Start with the pure SMD</w:t>
                            </w:r>
                          </w:p>
                          <w:p w:rsidR="00321D5F" w:rsidRDefault="00321D5F" w:rsidP="00EC4335">
                            <w:pPr>
                              <w:pStyle w:val="ListParagraph"/>
                              <w:numPr>
                                <w:ilvl w:val="0"/>
                                <w:numId w:val="2"/>
                              </w:numPr>
                              <w:shd w:val="clear" w:color="auto" w:fill="FFC000"/>
                              <w:spacing w:after="0" w:line="240" w:lineRule="auto"/>
                            </w:pPr>
                            <w:r>
                              <w:t>Remove the portion of SMD at each network level which is subject to standing charge factors for each tariff</w:t>
                            </w:r>
                          </w:p>
                          <w:p w:rsidR="00321D5F" w:rsidRDefault="00321D5F" w:rsidP="00EC4335">
                            <w:pPr>
                              <w:pStyle w:val="ListParagraph"/>
                              <w:numPr>
                                <w:ilvl w:val="0"/>
                                <w:numId w:val="2"/>
                              </w:numPr>
                              <w:shd w:val="clear" w:color="auto" w:fill="FFC000"/>
                              <w:spacing w:after="0" w:line="240" w:lineRule="auto"/>
                            </w:pPr>
                            <w:r>
                              <w:t xml:space="preserve">Add, at each network level which is subject to standing charge factors, the diversified aggregate capacity </w:t>
                            </w:r>
                          </w:p>
                          <w:p w:rsidR="00321D5F" w:rsidRDefault="00321D5F" w:rsidP="00EC4335">
                            <w:pPr>
                              <w:pStyle w:val="ListParagraph"/>
                              <w:numPr>
                                <w:ilvl w:val="1"/>
                                <w:numId w:val="2"/>
                              </w:numPr>
                              <w:shd w:val="clear" w:color="auto" w:fill="FFC000"/>
                              <w:spacing w:after="0" w:line="240" w:lineRule="auto"/>
                            </w:pPr>
                            <w:r>
                              <w:t>Agg Capacity for NHH is the total annual kWh/load factor (i.e. max demand)</w:t>
                            </w:r>
                          </w:p>
                          <w:p w:rsidR="00321D5F" w:rsidRDefault="00321D5F" w:rsidP="00EC4335">
                            <w:pPr>
                              <w:pStyle w:val="ListParagraph"/>
                              <w:numPr>
                                <w:ilvl w:val="1"/>
                                <w:numId w:val="2"/>
                              </w:numPr>
                              <w:shd w:val="clear" w:color="auto" w:fill="FFC000"/>
                              <w:spacing w:after="0" w:line="240" w:lineRule="auto"/>
                            </w:pPr>
                            <w:r>
                              <w:t>Agg Capacity for HH is the total agreed capacities of the HH customers  (i.e. agreed capacities)</w:t>
                            </w:r>
                          </w:p>
                          <w:p w:rsidR="00321D5F" w:rsidRDefault="00321D5F" w:rsidP="00EC4335">
                            <w:pPr>
                              <w:pStyle w:val="ListParagraph"/>
                              <w:numPr>
                                <w:ilvl w:val="1"/>
                                <w:numId w:val="2"/>
                              </w:numPr>
                              <w:shd w:val="clear" w:color="auto" w:fill="FFC000"/>
                              <w:spacing w:after="0" w:line="240" w:lineRule="auto"/>
                            </w:pPr>
                            <w:r>
                              <w:t>Diversity factors for all network levels other than LV are determined by reference to the diversity factors input to the CDCM.</w:t>
                            </w:r>
                          </w:p>
                          <w:p w:rsidR="00321D5F" w:rsidRDefault="00321D5F" w:rsidP="00214B9F">
                            <w:pPr>
                              <w:pStyle w:val="ListParagraph"/>
                              <w:numPr>
                                <w:ilvl w:val="1"/>
                                <w:numId w:val="2"/>
                              </w:numPr>
                              <w:shd w:val="clear" w:color="auto" w:fill="FFC000"/>
                              <w:spacing w:after="0" w:line="240" w:lineRule="auto"/>
                            </w:pPr>
                            <w:r>
                              <w:t xml:space="preserve">Diversity factor for LV circuit is not input to CDCM, so is calculated (see table 2609 in model) as the sum of: [(aggregate capacity for NHH (max demand) + aggregate capacity for HH (agreed capacities))/SMD (NHH &amp; HH)]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 o:spid="_x0000_s1028" type="#_x0000_t202" style="position:absolute;margin-left:-1.8pt;margin-top:7.05pt;width:534.3pt;height:227.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ihq3KwIAAFgEAAAOAAAAZHJzL2Uyb0RvYy54bWysVNuO2yAQfa/Uf0C8N3as3NaKs9pmm6rS&#10;9iLt9gMIxjYqMBRI7PTrO+Bsmt5eqvoBMcxwZjhnxuvbQStyFM5LMBWdTnJKhOFQS9NW9PPT7tWK&#10;Eh+YqZkCIyp6Ep7ebl6+WPe2FAV0oGrhCIIYX/a2ol0ItswyzzuhmZ+AFQadDTjNApquzWrHekTX&#10;KivyfJH14GrrgAvv8fR+dNJNwm8awcPHpvEiEFVRrC2k1aV1H9dss2Zl65jtJD+Xwf6hCs2kwaQX&#10;qHsWGDk4+RuUltyBhyZMOOgMmkZykd6Ar5nmv7zmsWNWpLcgOd5eaPL/D5Z/OH5yRNYVXVBimEaJ&#10;nsQQyGsYSBHZ6a0vMejRYlgY8BhVTi/19gH4F08MbDtmWnHnHPSdYDVWN403s6urI46PIPv+PdSY&#10;hh0CJKChcTpSh2QQREeVThdlYikcDxfL1XwxRRdHX7FaLfLlPOVg5fN163x4K0CTuKmoQ+kTPDs+&#10;+BDLYeVzSMzmQcl6J5VKhmv3W+XIkWGb7NJ3Rv8pTBnSV/RmXsxHBv4KkafvTxBaBux3JXVFV5cg&#10;Vkbe3pg6dWNgUo17LFmZM5GRu5HFMOyHpNhFnz3UJ2TWwdjeOI646cB9o6TH1q6o/3pgTlCi3hlU&#10;52Y6m8VZSMZsvizQcNee/bWHGY5QFQ2UjNttGOfnYJ1sO8w09oOBO1S0kYnrKP1Y1bl8bN8kwXnU&#10;4nxc2ynqxw9h8x0AAP//AwBQSwMEFAAGAAgAAAAhAJWJnTDfAAAACgEAAA8AAABkcnMvZG93bnJl&#10;di54bWxMj8FOwzAQRO9I/IO1SFxQ65QGN4Q4FUICwQ1KBVc33iYR9jrYbhr+HvcEx50Zzb6p1pM1&#10;bEQfekcSFvMMGFLjdE+thO3746wAFqIirYwjlPCDAdb1+VmlSu2O9IbjJrYslVAolYQuxqHkPDQd&#10;WhXmbkBK3t55q2I6fcu1V8dUbg2/zjLBreopfejUgA8dNl+bg5VQ5M/jZ3hZvn40Ym9u49VqfPr2&#10;Ul5eTPd3wCJO8S8MJ/yEDnVi2rkD6cCMhNlSpGTS8wWwk5+JmzRuJyEXhQBeV/z/hPoXAAD//wMA&#10;UEsBAi0AFAAGAAgAAAAhALaDOJL+AAAA4QEAABMAAAAAAAAAAAAAAAAAAAAAAFtDb250ZW50X1R5&#10;cGVzXS54bWxQSwECLQAUAAYACAAAACEAOP0h/9YAAACUAQAACwAAAAAAAAAAAAAAAAAvAQAAX3Jl&#10;bHMvLnJlbHNQSwECLQAUAAYACAAAACEAwYoatysCAABYBAAADgAAAAAAAAAAAAAAAAAuAgAAZHJz&#10;L2Uyb0RvYy54bWxQSwECLQAUAAYACAAAACEAlYmdMN8AAAAKAQAADwAAAAAAAAAAAAAAAACFBAAA&#10;ZHJzL2Rvd25yZXYueG1sUEsFBgAAAAAEAAQA8wAAAJEFAAAAAA==&#10;">
                <v:textbox>
                  <w:txbxContent>
                    <w:p w:rsidR="00321D5F" w:rsidRDefault="00321D5F" w:rsidP="00EC4335">
                      <w:pPr>
                        <w:shd w:val="clear" w:color="auto" w:fill="FFC000"/>
                        <w:spacing w:after="0" w:line="240" w:lineRule="auto"/>
                      </w:pPr>
                      <w:r>
                        <w:t xml:space="preserve">‘Other’ costs are allocated to each network level on the basis of notional asset value </w:t>
                      </w:r>
                    </w:p>
                    <w:p w:rsidR="00321D5F" w:rsidRDefault="00321D5F" w:rsidP="00EC4335">
                      <w:pPr>
                        <w:shd w:val="clear" w:color="auto" w:fill="FFC000"/>
                        <w:spacing w:after="0" w:line="240" w:lineRule="auto"/>
                      </w:pPr>
                      <w:r>
                        <w:t xml:space="preserve">For the purpose of calculating a notional asset value for each network level the estimated load is not the pure SMD, but rather the ‘SMD adjusted for standing charge factors’. </w:t>
                      </w:r>
                    </w:p>
                    <w:p w:rsidR="00321D5F" w:rsidRDefault="00321D5F" w:rsidP="00EC4335">
                      <w:pPr>
                        <w:shd w:val="clear" w:color="auto" w:fill="FFC000"/>
                        <w:spacing w:after="0" w:line="240" w:lineRule="auto"/>
                      </w:pPr>
                    </w:p>
                    <w:p w:rsidR="00321D5F" w:rsidRDefault="00321D5F" w:rsidP="00EC4335">
                      <w:pPr>
                        <w:shd w:val="clear" w:color="auto" w:fill="FFC000"/>
                        <w:spacing w:after="0" w:line="240" w:lineRule="auto"/>
                      </w:pPr>
                      <w:r>
                        <w:t>The ‘SMD adjusted for standing charge factors’ differs from the pure SMD by replacing, for each network level , the pure SMD with a diversified aggregate capacity calculated as follows (see table 2613 in model):</w:t>
                      </w:r>
                    </w:p>
                    <w:p w:rsidR="00321D5F" w:rsidRDefault="00321D5F" w:rsidP="00EC4335">
                      <w:pPr>
                        <w:pStyle w:val="ListParagraph"/>
                        <w:numPr>
                          <w:ilvl w:val="0"/>
                          <w:numId w:val="2"/>
                        </w:numPr>
                        <w:shd w:val="clear" w:color="auto" w:fill="FFC000"/>
                        <w:spacing w:after="0" w:line="240" w:lineRule="auto"/>
                      </w:pPr>
                      <w:r>
                        <w:t>Start with the pure SMD</w:t>
                      </w:r>
                    </w:p>
                    <w:p w:rsidR="00321D5F" w:rsidRDefault="00321D5F" w:rsidP="00EC4335">
                      <w:pPr>
                        <w:pStyle w:val="ListParagraph"/>
                        <w:numPr>
                          <w:ilvl w:val="0"/>
                          <w:numId w:val="2"/>
                        </w:numPr>
                        <w:shd w:val="clear" w:color="auto" w:fill="FFC000"/>
                        <w:spacing w:after="0" w:line="240" w:lineRule="auto"/>
                      </w:pPr>
                      <w:r>
                        <w:t>Remove the portion of SMD at each network level which is subject to standing charge factors for each tariff</w:t>
                      </w:r>
                    </w:p>
                    <w:p w:rsidR="00321D5F" w:rsidRDefault="00321D5F" w:rsidP="00EC4335">
                      <w:pPr>
                        <w:pStyle w:val="ListParagraph"/>
                        <w:numPr>
                          <w:ilvl w:val="0"/>
                          <w:numId w:val="2"/>
                        </w:numPr>
                        <w:shd w:val="clear" w:color="auto" w:fill="FFC000"/>
                        <w:spacing w:after="0" w:line="240" w:lineRule="auto"/>
                      </w:pPr>
                      <w:r>
                        <w:t xml:space="preserve">Add, at each network level which is subject to standing charge factors, the diversified aggregate capacity </w:t>
                      </w:r>
                    </w:p>
                    <w:p w:rsidR="00321D5F" w:rsidRDefault="00321D5F" w:rsidP="00EC4335">
                      <w:pPr>
                        <w:pStyle w:val="ListParagraph"/>
                        <w:numPr>
                          <w:ilvl w:val="1"/>
                          <w:numId w:val="2"/>
                        </w:numPr>
                        <w:shd w:val="clear" w:color="auto" w:fill="FFC000"/>
                        <w:spacing w:after="0" w:line="240" w:lineRule="auto"/>
                      </w:pPr>
                      <w:r>
                        <w:t>Agg Capacity for NHH is the total annual kWh/load factor (i.e. max demand)</w:t>
                      </w:r>
                    </w:p>
                    <w:p w:rsidR="00321D5F" w:rsidRDefault="00321D5F" w:rsidP="00EC4335">
                      <w:pPr>
                        <w:pStyle w:val="ListParagraph"/>
                        <w:numPr>
                          <w:ilvl w:val="1"/>
                          <w:numId w:val="2"/>
                        </w:numPr>
                        <w:shd w:val="clear" w:color="auto" w:fill="FFC000"/>
                        <w:spacing w:after="0" w:line="240" w:lineRule="auto"/>
                      </w:pPr>
                      <w:r>
                        <w:t>Agg Capacity for HH is the total agreed capacities of the HH customers  (i.e. agreed capacities)</w:t>
                      </w:r>
                    </w:p>
                    <w:p w:rsidR="00321D5F" w:rsidRDefault="00321D5F" w:rsidP="00EC4335">
                      <w:pPr>
                        <w:pStyle w:val="ListParagraph"/>
                        <w:numPr>
                          <w:ilvl w:val="1"/>
                          <w:numId w:val="2"/>
                        </w:numPr>
                        <w:shd w:val="clear" w:color="auto" w:fill="FFC000"/>
                        <w:spacing w:after="0" w:line="240" w:lineRule="auto"/>
                      </w:pPr>
                      <w:r>
                        <w:t>Diversity factors for all network levels other than LV are determined by reference to the diversity factors input to the CDCM.</w:t>
                      </w:r>
                    </w:p>
                    <w:p w:rsidR="00321D5F" w:rsidRDefault="00321D5F" w:rsidP="00214B9F">
                      <w:pPr>
                        <w:pStyle w:val="ListParagraph"/>
                        <w:numPr>
                          <w:ilvl w:val="1"/>
                          <w:numId w:val="2"/>
                        </w:numPr>
                        <w:shd w:val="clear" w:color="auto" w:fill="FFC000"/>
                        <w:spacing w:after="0" w:line="240" w:lineRule="auto"/>
                      </w:pPr>
                      <w:r>
                        <w:t xml:space="preserve">Diversity factor for LV circuit is not input to CDCM, so is calculated (see table 2609 in model) as the sum of: [(aggregate capacity for NHH (max demand) + aggregate capacity for HH (agreed capacities))/SMD (NHH &amp; HH)] </w:t>
                      </w:r>
                    </w:p>
                  </w:txbxContent>
                </v:textbox>
              </v:shape>
            </w:pict>
          </mc:Fallback>
        </mc:AlternateContent>
      </w:r>
    </w:p>
    <w:p w:rsidR="00214B9F" w:rsidRDefault="00214B9F" w:rsidP="00B260D0">
      <w:pPr>
        <w:spacing w:after="0" w:line="240" w:lineRule="auto"/>
      </w:pPr>
    </w:p>
    <w:p w:rsidR="00214B9F" w:rsidRDefault="00214B9F" w:rsidP="00B260D0">
      <w:pPr>
        <w:spacing w:after="0" w:line="240" w:lineRule="auto"/>
      </w:pPr>
    </w:p>
    <w:p w:rsidR="00214B9F" w:rsidRDefault="00214B9F" w:rsidP="00B260D0">
      <w:pPr>
        <w:spacing w:after="0" w:line="240" w:lineRule="auto"/>
      </w:pPr>
    </w:p>
    <w:p w:rsidR="00214B9F" w:rsidRDefault="00214B9F" w:rsidP="00B260D0">
      <w:pPr>
        <w:spacing w:after="0" w:line="240" w:lineRule="auto"/>
      </w:pPr>
    </w:p>
    <w:p w:rsidR="00214B9F" w:rsidRDefault="00214B9F" w:rsidP="00B260D0">
      <w:pPr>
        <w:spacing w:after="0" w:line="240" w:lineRule="auto"/>
      </w:pPr>
    </w:p>
    <w:p w:rsidR="00214B9F" w:rsidRDefault="00214B9F" w:rsidP="00B260D0">
      <w:pPr>
        <w:spacing w:after="0" w:line="240" w:lineRule="auto"/>
      </w:pPr>
    </w:p>
    <w:p w:rsidR="00214B9F" w:rsidRDefault="00214B9F" w:rsidP="00B260D0">
      <w:pPr>
        <w:spacing w:after="0" w:line="240" w:lineRule="auto"/>
      </w:pPr>
    </w:p>
    <w:p w:rsidR="00214B9F" w:rsidRDefault="00214B9F" w:rsidP="00B260D0">
      <w:pPr>
        <w:spacing w:after="0" w:line="240" w:lineRule="auto"/>
      </w:pPr>
    </w:p>
    <w:p w:rsidR="00214B9F" w:rsidRDefault="00214B9F" w:rsidP="00B260D0">
      <w:pPr>
        <w:spacing w:after="0" w:line="240" w:lineRule="auto"/>
      </w:pPr>
    </w:p>
    <w:p w:rsidR="00214B9F" w:rsidRDefault="00214B9F" w:rsidP="00B260D0">
      <w:pPr>
        <w:spacing w:after="0" w:line="240" w:lineRule="auto"/>
      </w:pPr>
    </w:p>
    <w:p w:rsidR="00214B9F" w:rsidRDefault="00214B9F" w:rsidP="00B260D0">
      <w:pPr>
        <w:spacing w:after="0" w:line="240" w:lineRule="auto"/>
      </w:pPr>
    </w:p>
    <w:p w:rsidR="00B260D0" w:rsidRDefault="00B260D0" w:rsidP="00B260D0">
      <w:pPr>
        <w:spacing w:after="0" w:line="240" w:lineRule="auto"/>
      </w:pPr>
    </w:p>
    <w:p w:rsidR="00214B9F" w:rsidRDefault="00214B9F" w:rsidP="00B260D0">
      <w:pPr>
        <w:spacing w:after="0" w:line="240" w:lineRule="auto"/>
      </w:pPr>
    </w:p>
    <w:p w:rsidR="00214B9F" w:rsidRDefault="00214B9F" w:rsidP="00B260D0">
      <w:pPr>
        <w:spacing w:after="0" w:line="240" w:lineRule="auto"/>
      </w:pPr>
    </w:p>
    <w:p w:rsidR="00214B9F" w:rsidRDefault="00214B9F" w:rsidP="00B260D0">
      <w:pPr>
        <w:spacing w:after="0" w:line="240" w:lineRule="auto"/>
      </w:pPr>
    </w:p>
    <w:p w:rsidR="00303BF4" w:rsidRDefault="00303BF4" w:rsidP="00B260D0">
      <w:pPr>
        <w:spacing w:after="0" w:line="240" w:lineRule="auto"/>
      </w:pPr>
    </w:p>
    <w:p w:rsidR="00303BF4" w:rsidRDefault="00303BF4" w:rsidP="00B260D0">
      <w:pPr>
        <w:spacing w:after="0" w:line="240" w:lineRule="auto"/>
      </w:pPr>
    </w:p>
    <w:p w:rsidR="00303BF4" w:rsidRDefault="00303BF4" w:rsidP="00B260D0">
      <w:pPr>
        <w:spacing w:after="0" w:line="240" w:lineRule="auto"/>
      </w:pPr>
    </w:p>
    <w:p w:rsidR="00B260D0" w:rsidRDefault="00B260D0" w:rsidP="00B260D0">
      <w:pPr>
        <w:spacing w:after="0" w:line="240" w:lineRule="auto"/>
      </w:pPr>
      <w:r>
        <w:t>64. For each service model, a notional asset value is calculated by multiplying the unit asset value of that service model by the extent to which each user requires that model.</w:t>
      </w:r>
    </w:p>
    <w:p w:rsidR="00B260D0" w:rsidRDefault="00B260D0" w:rsidP="00B260D0">
      <w:pPr>
        <w:spacing w:after="0" w:line="240" w:lineRule="auto"/>
      </w:pPr>
    </w:p>
    <w:p w:rsidR="00B260D0" w:rsidRDefault="00B260D0" w:rsidP="00B260D0">
      <w:pPr>
        <w:spacing w:after="0" w:line="240" w:lineRule="auto"/>
      </w:pPr>
      <w:r>
        <w:t>65. Other expenditure (excluding transmission exit charges) is allocated between network levels in the proportion given by these notional assets.</w:t>
      </w:r>
    </w:p>
    <w:p w:rsidR="00B260D0" w:rsidRDefault="00B260D0" w:rsidP="00B260D0">
      <w:pPr>
        <w:spacing w:after="0" w:line="240" w:lineRule="auto"/>
      </w:pPr>
    </w:p>
    <w:p w:rsidR="00B260D0" w:rsidRDefault="00B260D0" w:rsidP="00B260D0">
      <w:pPr>
        <w:spacing w:after="0" w:line="240" w:lineRule="auto"/>
      </w:pPr>
      <w:r>
        <w:t>66. The result is combined with forecast transmission exit charges to give an annual expenditure figure for each network level and for each service model. These figures are converted into unit cost using the same rules as for costs and revenues from network assets and customer assets.</w:t>
      </w:r>
    </w:p>
    <w:p w:rsidR="009619ED" w:rsidRDefault="009619ED" w:rsidP="00B260D0">
      <w:pPr>
        <w:spacing w:after="0" w:line="240" w:lineRule="auto"/>
      </w:pPr>
    </w:p>
    <w:p w:rsidR="009619ED" w:rsidRDefault="009152AF" w:rsidP="00B260D0">
      <w:pPr>
        <w:spacing w:after="0" w:line="240" w:lineRule="auto"/>
      </w:pPr>
      <w:r>
        <w:rPr>
          <w:noProof/>
        </w:rPr>
        <mc:AlternateContent>
          <mc:Choice Requires="wps">
            <w:drawing>
              <wp:anchor distT="0" distB="0" distL="114300" distR="114300" simplePos="0" relativeHeight="251665408" behindDoc="0" locked="0" layoutInCell="1" allowOverlap="1">
                <wp:simplePos x="0" y="0"/>
                <wp:positionH relativeFrom="column">
                  <wp:posOffset>-22860</wp:posOffset>
                </wp:positionH>
                <wp:positionV relativeFrom="paragraph">
                  <wp:posOffset>5080</wp:posOffset>
                </wp:positionV>
                <wp:extent cx="6723380" cy="441960"/>
                <wp:effectExtent l="11430" t="8255" r="8890" b="6985"/>
                <wp:wrapNone/>
                <wp:docPr id="5"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23380" cy="441960"/>
                        </a:xfrm>
                        <a:prstGeom prst="rect">
                          <a:avLst/>
                        </a:prstGeom>
                        <a:solidFill>
                          <a:srgbClr val="FFFFFF"/>
                        </a:solidFill>
                        <a:ln w="9525">
                          <a:solidFill>
                            <a:srgbClr val="000000"/>
                          </a:solidFill>
                          <a:miter lim="800000"/>
                          <a:headEnd/>
                          <a:tailEnd/>
                        </a:ln>
                      </wps:spPr>
                      <wps:txbx>
                        <w:txbxContent>
                          <w:p w:rsidR="00321D5F" w:rsidRDefault="00321D5F" w:rsidP="00112626">
                            <w:pPr>
                              <w:shd w:val="clear" w:color="auto" w:fill="FFC000"/>
                              <w:spacing w:after="0" w:line="240" w:lineRule="auto"/>
                            </w:pPr>
                            <w:r>
                              <w:t>The above results in a £/kW/yr for Other &amp; Transmission costs for each network level (see table 2710 in model).</w:t>
                            </w:r>
                          </w:p>
                          <w:p w:rsidR="00321D5F" w:rsidRDefault="00321D5F" w:rsidP="00112626">
                            <w:pPr>
                              <w:shd w:val="clear" w:color="auto" w:fill="FFC000"/>
                              <w:spacing w:after="0" w:line="240" w:lineRule="auto"/>
                            </w:pPr>
                            <w:r>
                              <w:t>In converting to £/kW/yr the total cost is divided by ‘SMD adjusted for standing charge factors’.</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id="Text Box 8" o:spid="_x0000_s1029" type="#_x0000_t202" style="position:absolute;margin-left:-1.8pt;margin-top:.4pt;width:529.4pt;height:34.8pt;z-index:251665408;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TLqBKwIAAFcEAAAOAAAAZHJzL2Uyb0RvYy54bWysVNuO0zAQfUfiHyy/0/S+bdR0tXQpQlou&#10;0i4fMHGcxMI3bLfJ8vWMnbZUC7wg8mB5POPjmXNmsrntlSRH7rwwuqCT0ZgSrpmphG4K+vVp/2ZF&#10;iQ+gK5BG84I+c09vt69fbTqb86lpjay4Iwiifd7ZgrYh2DzLPGu5Aj8ylmt01sYpCGi6JqscdIiu&#10;ZDYdj5dZZ1xlnWHcezy9H5x0m/DrmrPwua49D0QWFHMLaXVpLeOabTeQNw5sK9gpDfiHLBQIjY9e&#10;oO4hADk48RuUEswZb+owYkZlpq4F46kGrGYyflHNYwuWp1qQHG8vNPn/B8s+Hb84IqqCLijRoFCi&#10;J94H8tb0ZBXZ6azPMejRYljo8RhVTpV6+2DYN0+02bWgG37nnOlaDhVmN4k3s6urA46PIGX30VT4&#10;DByCSUB97VSkDskgiI4qPV+UiakwPFzeTGezFboY+ubzyXqZpMsgP9+2zof33CgSNwV1qHxCh+OD&#10;DzEbyM8h8TFvpKj2QspkuKbcSUeOgF2yT18q4EWY1KQr6HoxXQwE/BVinL4/QSgRsN2lUAVdXYIg&#10;j7S901VqxgBCDntMWeoTj5G6gcTQl30SbHaWpzTVMxLrzNDdOI24aY37QUmHnV1Q//0AjlMiP2gU&#10;Zz2Zz+MoJGO+uJmi4a495bUHNEOoggZKhu0uDONzsE40Lb50boc7FHQvEtdR+SGrU/rYvUmC06TF&#10;8bi2U9Sv/8H2JwAAAP//AwBQSwMEFAAGAAgAAAAhAEjaQg3bAAAABwEAAA8AAABkcnMvZG93bnJl&#10;di54bWxMzjFPwzAQBeAdif9gHRJL1dq0JKCQSwWVOjE1lN2NjyQiPgfbbdN/jzvBeHpP775yPdlB&#10;nMiH3jHCw0KBIG6c6blF2H9s588gQtRs9OCYEC4UYF3d3pS6MO7MOzrVsRVphEOhEboYx0LK0HRk&#10;dVi4kThlX85bHdPpW2m8PqdxO8ilUrm0uuf0odMjbTpqvuujRch/6tXs/dPMeHfZvvnGZmazzxDv&#10;76bXFxCRpvhXhis/0aFKpoM7sgliQJiv8tRESP5rqrJsCeKA8KQeQVal/O+vfgEAAP//AwBQSwEC&#10;LQAUAAYACAAAACEAtoM4kv4AAADhAQAAEwAAAAAAAAAAAAAAAAAAAAAAW0NvbnRlbnRfVHlwZXNd&#10;LnhtbFBLAQItABQABgAIAAAAIQA4/SH/1gAAAJQBAAALAAAAAAAAAAAAAAAAAC8BAABfcmVscy8u&#10;cmVsc1BLAQItABQABgAIAAAAIQA3TLqBKwIAAFcEAAAOAAAAAAAAAAAAAAAAAC4CAABkcnMvZTJv&#10;RG9jLnhtbFBLAQItABQABgAIAAAAIQBI2kIN2wAAAAcBAAAPAAAAAAAAAAAAAAAAAIUEAABkcnMv&#10;ZG93bnJldi54bWxQSwUGAAAAAAQABADzAAAAjQUAAAAA&#10;">
                <v:textbox style="mso-fit-shape-to-text:t">
                  <w:txbxContent>
                    <w:p w:rsidR="00321D5F" w:rsidRDefault="00321D5F" w:rsidP="00112626">
                      <w:pPr>
                        <w:shd w:val="clear" w:color="auto" w:fill="FFC000"/>
                        <w:spacing w:after="0" w:line="240" w:lineRule="auto"/>
                      </w:pPr>
                      <w:r>
                        <w:t>The above results in a £/kW/yr for Other &amp; Transmission costs for each network level (see table 2710 in model).</w:t>
                      </w:r>
                    </w:p>
                    <w:p w:rsidR="00321D5F" w:rsidRDefault="00321D5F" w:rsidP="00112626">
                      <w:pPr>
                        <w:shd w:val="clear" w:color="auto" w:fill="FFC000"/>
                        <w:spacing w:after="0" w:line="240" w:lineRule="auto"/>
                      </w:pPr>
                      <w:r>
                        <w:t>In converting to £/kW/yr the total cost is divided by ‘SMD adjusted for standing charge factors’.</w:t>
                      </w:r>
                    </w:p>
                  </w:txbxContent>
                </v:textbox>
              </v:shape>
            </w:pict>
          </mc:Fallback>
        </mc:AlternateContent>
      </w:r>
    </w:p>
    <w:p w:rsidR="009619ED" w:rsidRDefault="009619ED" w:rsidP="00B260D0">
      <w:pPr>
        <w:spacing w:after="0" w:line="240" w:lineRule="auto"/>
      </w:pPr>
    </w:p>
    <w:p w:rsidR="00B260D0" w:rsidRDefault="00B260D0" w:rsidP="00B260D0">
      <w:pPr>
        <w:spacing w:after="0" w:line="240" w:lineRule="auto"/>
      </w:pPr>
    </w:p>
    <w:p w:rsidR="009619ED" w:rsidRDefault="009619ED" w:rsidP="00662202">
      <w:pPr>
        <w:spacing w:after="0" w:line="240" w:lineRule="auto"/>
        <w:rPr>
          <w:b/>
          <w:bCs/>
          <w:sz w:val="23"/>
          <w:szCs w:val="23"/>
        </w:rPr>
      </w:pPr>
    </w:p>
    <w:p w:rsidR="00112626" w:rsidRDefault="00112626" w:rsidP="00662202">
      <w:pPr>
        <w:spacing w:after="0" w:line="240" w:lineRule="auto"/>
        <w:rPr>
          <w:b/>
          <w:bCs/>
          <w:sz w:val="23"/>
          <w:szCs w:val="23"/>
        </w:rPr>
      </w:pPr>
    </w:p>
    <w:p w:rsidR="00662202" w:rsidRDefault="00662202" w:rsidP="00662202">
      <w:pPr>
        <w:spacing w:after="0" w:line="240" w:lineRule="auto"/>
      </w:pPr>
      <w:r>
        <w:rPr>
          <w:b/>
          <w:bCs/>
          <w:sz w:val="23"/>
          <w:szCs w:val="23"/>
        </w:rPr>
        <w:lastRenderedPageBreak/>
        <w:t>Allocation of costs on the basis of contribution to system simultaneous maximum load</w:t>
      </w:r>
    </w:p>
    <w:p w:rsidR="00B260D0" w:rsidRDefault="00B260D0" w:rsidP="00B260D0">
      <w:pPr>
        <w:pStyle w:val="Default"/>
      </w:pPr>
    </w:p>
    <w:p w:rsidR="00B260D0" w:rsidRDefault="00B260D0" w:rsidP="00B260D0">
      <w:pPr>
        <w:pStyle w:val="Default"/>
        <w:rPr>
          <w:sz w:val="23"/>
          <w:szCs w:val="23"/>
        </w:rPr>
      </w:pPr>
      <w:r>
        <w:rPr>
          <w:sz w:val="23"/>
          <w:szCs w:val="23"/>
        </w:rPr>
        <w:t xml:space="preserve">67. All £/kW/year unit costs and revenue are used in the calculation of yardstick charges for each tariff. </w:t>
      </w:r>
    </w:p>
    <w:p w:rsidR="00B260D0" w:rsidRDefault="00B260D0" w:rsidP="00662202">
      <w:pPr>
        <w:spacing w:after="0" w:line="240" w:lineRule="auto"/>
      </w:pPr>
    </w:p>
    <w:p w:rsidR="00360A88" w:rsidRDefault="00360A88" w:rsidP="00662202">
      <w:pPr>
        <w:spacing w:after="0" w:line="240" w:lineRule="auto"/>
      </w:pPr>
      <w:r>
        <w:t>68. For demand tariffs and portfolio tariffs related to demand users with a single unit rate (with the exception of the non-half hourly unmetered supplies tariffs), the contributions of each network level to the unit rate are calculated as follows:</w:t>
      </w:r>
    </w:p>
    <w:p w:rsidR="00606AA0" w:rsidRDefault="00606AA0" w:rsidP="00662202">
      <w:pPr>
        <w:spacing w:after="0" w:line="240" w:lineRule="auto"/>
      </w:pPr>
    </w:p>
    <w:p w:rsidR="00360A88" w:rsidRDefault="00360A88" w:rsidP="00662202">
      <w:pPr>
        <w:spacing w:after="0" w:line="240" w:lineRule="auto"/>
      </w:pPr>
      <w:r>
        <w:t>[p/kWh from network model assets] = 100*[network level £/kW/year]*[user loss factor]/[network level loss factor]*[coincidence factor]/[load factor]*(1 – [contribution proportion])/[days in charging year]/24</w:t>
      </w:r>
    </w:p>
    <w:p w:rsidR="0025116E" w:rsidRDefault="0025116E" w:rsidP="00662202">
      <w:pPr>
        <w:spacing w:after="0" w:line="240" w:lineRule="auto"/>
      </w:pPr>
    </w:p>
    <w:p w:rsidR="00360A88" w:rsidRDefault="00360A88" w:rsidP="00662202">
      <w:pPr>
        <w:spacing w:after="0" w:line="240" w:lineRule="auto"/>
      </w:pPr>
      <w:r>
        <w:t>[p/kWh from operations] = 100*[ transmission exit or other expenditure £/kW/year]*[user loss factor]/[network level loss factor]*[coincidence factor]/[load factor]/[days in charging year]/24</w:t>
      </w:r>
    </w:p>
    <w:p w:rsidR="0025116E" w:rsidRDefault="0025116E" w:rsidP="00662202">
      <w:pPr>
        <w:spacing w:after="0" w:line="240" w:lineRule="auto"/>
      </w:pPr>
    </w:p>
    <w:p w:rsidR="00360A88" w:rsidRPr="00360A88" w:rsidRDefault="00360A88" w:rsidP="00662202">
      <w:pPr>
        <w:spacing w:after="0" w:line="240" w:lineRule="auto"/>
      </w:pPr>
      <w:r>
        <w:t>69. These calculations are repeated for each network level.</w:t>
      </w:r>
    </w:p>
    <w:p w:rsidR="00E5006C" w:rsidRPr="00E5006C" w:rsidRDefault="009152AF" w:rsidP="00662202">
      <w:pPr>
        <w:spacing w:after="0" w:line="240" w:lineRule="auto"/>
        <w:rPr>
          <w:b/>
        </w:rPr>
      </w:pPr>
      <w:r>
        <w:rPr>
          <w:b/>
          <w:noProof/>
        </w:rPr>
        <mc:AlternateContent>
          <mc:Choice Requires="wps">
            <w:drawing>
              <wp:anchor distT="0" distB="0" distL="114300" distR="114300" simplePos="0" relativeHeight="251662336" behindDoc="0" locked="0" layoutInCell="1" allowOverlap="1">
                <wp:simplePos x="0" y="0"/>
                <wp:positionH relativeFrom="column">
                  <wp:posOffset>-33655</wp:posOffset>
                </wp:positionH>
                <wp:positionV relativeFrom="paragraph">
                  <wp:posOffset>97155</wp:posOffset>
                </wp:positionV>
                <wp:extent cx="6597015" cy="463550"/>
                <wp:effectExtent l="13970" t="7620" r="8890" b="5080"/>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97015" cy="463550"/>
                        </a:xfrm>
                        <a:prstGeom prst="rect">
                          <a:avLst/>
                        </a:prstGeom>
                        <a:solidFill>
                          <a:srgbClr val="FFFFFF"/>
                        </a:solidFill>
                        <a:ln w="9525">
                          <a:solidFill>
                            <a:srgbClr val="000000"/>
                          </a:solidFill>
                          <a:miter lim="800000"/>
                          <a:headEnd/>
                          <a:tailEnd/>
                        </a:ln>
                      </wps:spPr>
                      <wps:txbx>
                        <w:txbxContent>
                          <w:p w:rsidR="00321D5F" w:rsidRDefault="00321D5F" w:rsidP="00606AA0">
                            <w:pPr>
                              <w:shd w:val="clear" w:color="auto" w:fill="FFC000"/>
                            </w:pPr>
                            <w:r>
                              <w:t>The above describes how the £/KW/yr derived above for network cost, other costs and transmission costs are converted to yardstick p/kWh for each tariff (see ‘yard’ tab in model).</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4" o:spid="_x0000_s1030" type="#_x0000_t202" style="position:absolute;margin-left:-2.65pt;margin-top:7.65pt;width:519.45pt;height:36.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W1nHLQIAAFcEAAAOAAAAZHJzL2Uyb0RvYy54bWysVNtu2zAMfR+wfxD0vtjJ4rQx4hRdugwD&#10;ugvQ7gNkWbaFyaImKbGzry8lu1nQbS/D/CCIInVEnkN6czN0ihyFdRJ0QeezlBKhOVRSNwX99rh/&#10;c02J80xXTIEWBT0JR2+2r19tepOLBbSgKmEJgmiX96agrfcmTxLHW9ExNwMjNDprsB3zaNomqSzr&#10;Eb1TySJNV0kPtjIWuHAOT+9GJ91G/LoW3H+payc8UQXF3HxcbVzLsCbbDcsby0wr+ZQG+4csOiY1&#10;PnqGumOekYOVv0F1kltwUPsZhy6BupZcxBqwmnn6opqHlhkRa0FynDnT5P4fLP98/GqJrAq6pESz&#10;DiV6FIMn72Agy8BOb1yOQQ8Gw/yAx6hyrNSZe+DfHdGwa5luxK210LeCVZjdPNxMLq6OOC6AlP0n&#10;qPAZdvAQgYbadoE6JIMgOqp0OisTUuF4uMrWV+k8o4Sjb7l6m2VRuoTlz7eNdf6DgI6ETUEtKh/R&#10;2fHe+ZANy59DwmMOlKz2Uqlo2KbcKUuODLtkH79YwIswpUlf0HW2yEYC/gqRxu9PEJ302O5KdgW9&#10;PgexPND2XlexGT2TatxjykpPPAbqRhL9UA6TYJM8JVQnJNbC2N04jbhpwf6kpMfOLqj7cWBWUKI+&#10;ahRnPV8uwyhEY5ldLdCwl57y0sM0R6iCekrG7c6P43MwVjYtvjS2g4ZbFLSWkeug/JjVlD52b5Rg&#10;mrQwHpd2jPr1P9g+AQAA//8DAFBLAwQUAAYACAAAACEATgm3C94AAAAJAQAADwAAAGRycy9kb3du&#10;cmV2LnhtbEyPwU7DMBBE70j8g7VIXFDrgCENIU6FkEBwg1LB1Y23SYS9Drabhr/HOcFptTuj2TfV&#10;erKGjehD70jC5TIDhtQ43VMrYfv+uCiAhahIK+MIJfxggHV9elKpUrsjveG4iS1LIRRKJaGLcSg5&#10;D02HVoWlG5CStnfeqphW33Lt1TGFW8OvsiznVvWUPnRqwIcOm6/NwUoorp/Hz/AiXj+afG9u48Vq&#10;fPr2Up6fTfd3wCJO8c8MM35Chzox7dyBdGBGwuJGJGe6z3PWMyFyYLuUXgjgdcX/N6h/AQAA//8D&#10;AFBLAQItABQABgAIAAAAIQC2gziS/gAAAOEBAAATAAAAAAAAAAAAAAAAAAAAAABbQ29udGVudF9U&#10;eXBlc10ueG1sUEsBAi0AFAAGAAgAAAAhADj9If/WAAAAlAEAAAsAAAAAAAAAAAAAAAAALwEAAF9y&#10;ZWxzLy5yZWxzUEsBAi0AFAAGAAgAAAAhAJFbWcctAgAAVwQAAA4AAAAAAAAAAAAAAAAALgIAAGRy&#10;cy9lMm9Eb2MueG1sUEsBAi0AFAAGAAgAAAAhAE4JtwveAAAACQEAAA8AAAAAAAAAAAAAAAAAhwQA&#10;AGRycy9kb3ducmV2LnhtbFBLBQYAAAAABAAEAPMAAACSBQAAAAA=&#10;">
                <v:textbox>
                  <w:txbxContent>
                    <w:p w:rsidR="00321D5F" w:rsidRDefault="00321D5F" w:rsidP="00606AA0">
                      <w:pPr>
                        <w:shd w:val="clear" w:color="auto" w:fill="FFC000"/>
                      </w:pPr>
                      <w:r>
                        <w:t>The above describes how the £/KW/yr derived above for network cost, other costs and transmission costs are converted to yardstick p/kWh for each tariff (see ‘yard’ tab in model).</w:t>
                      </w:r>
                    </w:p>
                  </w:txbxContent>
                </v:textbox>
              </v:shape>
            </w:pict>
          </mc:Fallback>
        </mc:AlternateContent>
      </w:r>
    </w:p>
    <w:p w:rsidR="0025116E" w:rsidRDefault="0025116E" w:rsidP="00662202">
      <w:pPr>
        <w:spacing w:after="0" w:line="240" w:lineRule="auto"/>
        <w:rPr>
          <w:b/>
        </w:rPr>
      </w:pPr>
    </w:p>
    <w:p w:rsidR="0025116E" w:rsidRDefault="0025116E" w:rsidP="00662202">
      <w:pPr>
        <w:spacing w:after="0" w:line="240" w:lineRule="auto"/>
        <w:rPr>
          <w:b/>
        </w:rPr>
      </w:pPr>
    </w:p>
    <w:p w:rsidR="0025116E" w:rsidRDefault="0025116E" w:rsidP="00662202">
      <w:pPr>
        <w:spacing w:after="0" w:line="240" w:lineRule="auto"/>
        <w:rPr>
          <w:b/>
        </w:rPr>
      </w:pPr>
    </w:p>
    <w:p w:rsidR="00662202" w:rsidRPr="00662202" w:rsidRDefault="00662202" w:rsidP="00662202">
      <w:pPr>
        <w:spacing w:after="0" w:line="240" w:lineRule="auto"/>
        <w:rPr>
          <w:b/>
        </w:rPr>
      </w:pPr>
      <w:r w:rsidRPr="00662202">
        <w:rPr>
          <w:b/>
        </w:rPr>
        <w:t>Allocation of network costs to standing charges (fixed and capacity)</w:t>
      </w:r>
    </w:p>
    <w:p w:rsidR="00662202" w:rsidRDefault="00662202" w:rsidP="00662202">
      <w:pPr>
        <w:spacing w:after="0" w:line="240" w:lineRule="auto"/>
      </w:pPr>
      <w:r w:rsidRPr="00662202">
        <w:t>73. For demand users, other than unmetered users, standing charge factors are used to reduce unit charges and to attribute these costs or revenues to capacity charges (p/kVA/day) or fixed charges (p/day) instead.</w:t>
      </w:r>
    </w:p>
    <w:p w:rsidR="0025116E" w:rsidRPr="00662202" w:rsidRDefault="0025116E" w:rsidP="00662202">
      <w:pPr>
        <w:spacing w:after="0" w:line="240" w:lineRule="auto"/>
      </w:pPr>
    </w:p>
    <w:p w:rsidR="00662202" w:rsidRPr="00662202" w:rsidRDefault="00662202" w:rsidP="00662202">
      <w:pPr>
        <w:spacing w:after="0" w:line="240" w:lineRule="auto"/>
      </w:pPr>
      <w:r w:rsidRPr="00662202">
        <w:t>74. The standing charge factors for non half hourly settled users are:</w:t>
      </w:r>
    </w:p>
    <w:p w:rsidR="00662202" w:rsidRPr="00662202" w:rsidRDefault="00662202" w:rsidP="00662202">
      <w:pPr>
        <w:spacing w:after="0" w:line="240" w:lineRule="auto"/>
      </w:pPr>
      <w:r w:rsidRPr="00662202">
        <w:t>a) 100 per cent for the network level at which the end user is supplied.</w:t>
      </w:r>
    </w:p>
    <w:p w:rsidR="00662202" w:rsidRDefault="00662202" w:rsidP="00662202">
      <w:pPr>
        <w:spacing w:after="0" w:line="240" w:lineRule="auto"/>
      </w:pPr>
      <w:r w:rsidRPr="00662202">
        <w:t>b) Zero for any further network level.</w:t>
      </w:r>
    </w:p>
    <w:p w:rsidR="0025116E" w:rsidRPr="00662202" w:rsidRDefault="0025116E" w:rsidP="00662202">
      <w:pPr>
        <w:spacing w:after="0" w:line="240" w:lineRule="auto"/>
      </w:pPr>
    </w:p>
    <w:p w:rsidR="00662202" w:rsidRPr="00662202" w:rsidRDefault="00662202" w:rsidP="00662202">
      <w:pPr>
        <w:spacing w:after="0" w:line="240" w:lineRule="auto"/>
      </w:pPr>
      <w:r w:rsidRPr="00662202">
        <w:t>75. The standing charge factors for half hourly settled users at LV Sub are:</w:t>
      </w:r>
    </w:p>
    <w:p w:rsidR="00662202" w:rsidRPr="00662202" w:rsidRDefault="00662202" w:rsidP="00662202">
      <w:pPr>
        <w:spacing w:after="0" w:line="240" w:lineRule="auto"/>
      </w:pPr>
      <w:r w:rsidRPr="00662202">
        <w:t>a) 100 per cent for the transformation level at which the supply is made to the end user.</w:t>
      </w:r>
    </w:p>
    <w:p w:rsidR="00662202" w:rsidRPr="00662202" w:rsidRDefault="00662202" w:rsidP="00662202">
      <w:pPr>
        <w:spacing w:after="0" w:line="240" w:lineRule="auto"/>
      </w:pPr>
      <w:r w:rsidRPr="00662202">
        <w:t>b) 100 per cent for circuits at the next voltage level.</w:t>
      </w:r>
    </w:p>
    <w:p w:rsidR="00662202" w:rsidRDefault="00662202" w:rsidP="00662202">
      <w:pPr>
        <w:spacing w:after="0" w:line="240" w:lineRule="auto"/>
      </w:pPr>
      <w:r w:rsidRPr="00662202">
        <w:t>c) Zero for any further network level.</w:t>
      </w:r>
    </w:p>
    <w:p w:rsidR="0025116E" w:rsidRPr="00662202" w:rsidRDefault="0025116E" w:rsidP="00662202">
      <w:pPr>
        <w:spacing w:after="0" w:line="240" w:lineRule="auto"/>
      </w:pPr>
    </w:p>
    <w:p w:rsidR="00662202" w:rsidRPr="00662202" w:rsidRDefault="00662202" w:rsidP="00662202">
      <w:pPr>
        <w:spacing w:after="0" w:line="240" w:lineRule="auto"/>
      </w:pPr>
      <w:r w:rsidRPr="00662202">
        <w:t>76. The standing charge factors for other half hourly settled users are:</w:t>
      </w:r>
    </w:p>
    <w:p w:rsidR="00662202" w:rsidRPr="00662202" w:rsidRDefault="00662202" w:rsidP="00662202">
      <w:pPr>
        <w:spacing w:after="0" w:line="240" w:lineRule="auto"/>
      </w:pPr>
      <w:r w:rsidRPr="00662202">
        <w:t>a) 100 per cent for the voltage level of supply of the end user.</w:t>
      </w:r>
    </w:p>
    <w:p w:rsidR="00662202" w:rsidRPr="00662202" w:rsidRDefault="00662202" w:rsidP="00662202">
      <w:pPr>
        <w:spacing w:after="0" w:line="240" w:lineRule="auto"/>
      </w:pPr>
      <w:r w:rsidRPr="00662202">
        <w:t>b) 100 per cent for the next transformation level.</w:t>
      </w:r>
    </w:p>
    <w:p w:rsidR="00662202" w:rsidRPr="00662202" w:rsidRDefault="00662202" w:rsidP="00662202">
      <w:pPr>
        <w:spacing w:after="0" w:line="240" w:lineRule="auto"/>
      </w:pPr>
      <w:r w:rsidRPr="00662202">
        <w:t>c) 20 per cent for circuits at the next voltage level (including 132kV for HV users to the extent that 132kV/HV transformation is used).</w:t>
      </w:r>
    </w:p>
    <w:p w:rsidR="00662202" w:rsidRDefault="00662202" w:rsidP="00662202">
      <w:pPr>
        <w:spacing w:after="0" w:line="240" w:lineRule="auto"/>
      </w:pPr>
      <w:r w:rsidRPr="00662202">
        <w:t>d) Zero for any further network level.</w:t>
      </w:r>
    </w:p>
    <w:p w:rsidR="0025116E" w:rsidRPr="00662202" w:rsidRDefault="0025116E" w:rsidP="00662202">
      <w:pPr>
        <w:spacing w:after="0" w:line="240" w:lineRule="auto"/>
      </w:pPr>
    </w:p>
    <w:p w:rsidR="00662202" w:rsidRDefault="00662202" w:rsidP="00662202">
      <w:pPr>
        <w:spacing w:after="0" w:line="240" w:lineRule="auto"/>
      </w:pPr>
      <w:r w:rsidRPr="00662202">
        <w:t>77. For each tariff, the unit rates are reduced to take account of the allocation of costs to capacity or fixed charges. This is achieved by multiplying the cost element for each relevant network level by (1 – [standing charge factor]).</w:t>
      </w:r>
    </w:p>
    <w:p w:rsidR="0025116E" w:rsidRPr="00662202" w:rsidRDefault="0025116E" w:rsidP="00662202">
      <w:pPr>
        <w:spacing w:after="0" w:line="240" w:lineRule="auto"/>
      </w:pPr>
    </w:p>
    <w:p w:rsidR="00662202" w:rsidRPr="00662202" w:rsidRDefault="00662202" w:rsidP="00662202">
      <w:pPr>
        <w:spacing w:after="0" w:line="240" w:lineRule="auto"/>
      </w:pPr>
      <w:r w:rsidRPr="00662202">
        <w:t>78. For each demand user type, and for each network level, the unit cost to be attributed to capacity charges or fixed charges in respect of that network level is:</w:t>
      </w:r>
    </w:p>
    <w:p w:rsidR="00662202" w:rsidRDefault="00662202" w:rsidP="00662202">
      <w:pPr>
        <w:spacing w:after="0" w:line="240" w:lineRule="auto"/>
      </w:pPr>
      <w:r w:rsidRPr="00662202">
        <w:t>[p/kVA/day from network model assets] = 100*[standing charge factor]*[network level £/kW/year]*[user loss factor]/[network level loss factor]*(1 – [contribution proportion])/[days in year]/(1 + [diversity allowance])*[power factor in network model]</w:t>
      </w:r>
    </w:p>
    <w:p w:rsidR="0025116E" w:rsidRDefault="009152AF" w:rsidP="00662202">
      <w:pPr>
        <w:spacing w:after="0" w:line="240" w:lineRule="auto"/>
      </w:pPr>
      <w:r>
        <w:rPr>
          <w:noProof/>
        </w:rPr>
        <mc:AlternateContent>
          <mc:Choice Requires="wps">
            <w:drawing>
              <wp:anchor distT="0" distB="0" distL="114300" distR="114300" simplePos="0" relativeHeight="251667456" behindDoc="0" locked="0" layoutInCell="1" allowOverlap="1">
                <wp:simplePos x="0" y="0"/>
                <wp:positionH relativeFrom="column">
                  <wp:posOffset>-27940</wp:posOffset>
                </wp:positionH>
                <wp:positionV relativeFrom="paragraph">
                  <wp:posOffset>109220</wp:posOffset>
                </wp:positionV>
                <wp:extent cx="6491605" cy="441960"/>
                <wp:effectExtent l="10795" t="13970" r="12700" b="10795"/>
                <wp:wrapNone/>
                <wp:docPr id="3"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91605" cy="441960"/>
                        </a:xfrm>
                        <a:prstGeom prst="rect">
                          <a:avLst/>
                        </a:prstGeom>
                        <a:solidFill>
                          <a:srgbClr val="FFFFFF"/>
                        </a:solidFill>
                        <a:ln w="9525">
                          <a:solidFill>
                            <a:srgbClr val="000000"/>
                          </a:solidFill>
                          <a:miter lim="800000"/>
                          <a:headEnd/>
                          <a:tailEnd/>
                        </a:ln>
                      </wps:spPr>
                      <wps:txbx>
                        <w:txbxContent>
                          <w:p w:rsidR="00321D5F" w:rsidRDefault="00321D5F" w:rsidP="009E2F88">
                            <w:pPr>
                              <w:shd w:val="clear" w:color="auto" w:fill="FFC000"/>
                              <w:spacing w:after="0" w:line="240" w:lineRule="auto"/>
                            </w:pPr>
                            <w:r>
                              <w:t xml:space="preserve">This formula takes the </w:t>
                            </w:r>
                            <w:r w:rsidRPr="001728DC">
                              <w:t>£/kW/year</w:t>
                            </w:r>
                            <w:r>
                              <w:t xml:space="preserve"> u</w:t>
                            </w:r>
                            <w:r w:rsidRPr="001728DC">
                              <w:t>nit cost at each level</w:t>
                            </w:r>
                            <w:r>
                              <w:t xml:space="preserve"> (relative to SMD/SMD adjusted for standing charges) and converts to a p/kVA/day relative to </w:t>
                            </w:r>
                            <w:r w:rsidRPr="009E2F88">
                              <w:t>aggregate maximum load</w:t>
                            </w:r>
                            <w:r>
                              <w:t xml:space="preserve"> (see ‘Standing’ tab in model).</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id="Text Box 9" o:spid="_x0000_s1031" type="#_x0000_t202" style="position:absolute;margin-left:-2.2pt;margin-top:8.6pt;width:511.15pt;height:34.8pt;z-index:251667456;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bKnSLAIAAFcEAAAOAAAAZHJzL2Uyb0RvYy54bWysVNuO0zAQfUfiHyy/0yQlLduo6WrpUoS0&#10;XKRdPmDiOImFYxvbbVK+nrHTlmqBF0QeLI9nfDxzzkzWt2MvyYFbJ7QqaTZLKeGK6VqotqRfn3av&#10;bihxHlQNUite0iN39Hbz8sV6MAWf607LmluCIMoVgylp570pksSxjvfgZtpwhc5G2x48mrZNagsD&#10;ovcymafpMhm0rY3VjDuHp/eTk24iftNw5j83jeOeyJJibj6uNq5VWJPNGorWgukEO6UB/5BFD0Lh&#10;oxeoe/BA9lb8BtULZrXTjZ8x3Se6aQTjsQasJkufVfPYgeGxFiTHmQtN7v/Bsk+HL5aIuqSvKVHQ&#10;o0RPfPTkrR7JKrAzGFdg0KPBMD/iMaocK3XmQbNvjii97UC1/M5aPXQcaswuCzeTq6sTjgsg1fBR&#10;1/gM7L2OQGNj+0AdkkEQHVU6XpQJqTA8XOarbJkuKGHoy/NstYzSJVCcbxvr/HuuexI2JbWofESH&#10;w4PzIRsoziHhMaelqHdCymjYttpKSw6AXbKLXyzgWZhUZCjpajFfTAT8FSKN358geuGx3aXoS3pz&#10;CYIi0PZO1bEZPQg57TFlqU48BuomEv1YjVGwxVmeStdHJNbqqbtxGnHTafuDkgE7u6Tu+x4sp0R+&#10;UCjOKsvzMArRyBdv5mjYa0917QHFEKqknpJpu/XT+OyNFW2HL53b4Q4F3YnIdVB+yuqUPnZvlOA0&#10;aWE8ru0Y9et/sPkJAAD//wMAUEsDBBQABgAIAAAAIQD+Gaxl3gAAAAkBAAAPAAAAZHJzL2Rvd25y&#10;ZXYueG1sTI/BbsIwEETvlfoP1lbqBYEDhZCmcVCLxKknUno38TaJGq9T20D4+y6n9jg7o5m3xWa0&#10;vTijD50jBfNZAgKpdqajRsHhYzfNQISoyejeESq4YoBNeX9X6Ny4C+3xXMVGcAmFXCtoYxxyKUPd&#10;otVh5gYk9r6ctzqy9I00Xl+43PZykSSptLojXmj1gNsW6+/qZBWkP9XT5P3TTGh/3b352q7M9rBS&#10;6vFhfH0BEXGMf2G44TM6lMx0dCcyQfQKpsslJ/m+XoC4+cl8/QziqCBLM5BlIf9/UP4CAAD//wMA&#10;UEsBAi0AFAAGAAgAAAAhALaDOJL+AAAA4QEAABMAAAAAAAAAAAAAAAAAAAAAAFtDb250ZW50X1R5&#10;cGVzXS54bWxQSwECLQAUAAYACAAAACEAOP0h/9YAAACUAQAACwAAAAAAAAAAAAAAAAAvAQAAX3Jl&#10;bHMvLnJlbHNQSwECLQAUAAYACAAAACEAmGyp0iwCAABXBAAADgAAAAAAAAAAAAAAAAAuAgAAZHJz&#10;L2Uyb0RvYy54bWxQSwECLQAUAAYACAAAACEA/hmsZd4AAAAJAQAADwAAAAAAAAAAAAAAAACGBAAA&#10;ZHJzL2Rvd25yZXYueG1sUEsFBgAAAAAEAAQA8wAAAJEFAAAAAA==&#10;">
                <v:textbox style="mso-fit-shape-to-text:t">
                  <w:txbxContent>
                    <w:p w:rsidR="00321D5F" w:rsidRDefault="00321D5F" w:rsidP="009E2F88">
                      <w:pPr>
                        <w:shd w:val="clear" w:color="auto" w:fill="FFC000"/>
                        <w:spacing w:after="0" w:line="240" w:lineRule="auto"/>
                      </w:pPr>
                      <w:r>
                        <w:t xml:space="preserve">This formula takes the </w:t>
                      </w:r>
                      <w:r w:rsidRPr="001728DC">
                        <w:t>£/kW/year</w:t>
                      </w:r>
                      <w:r>
                        <w:t xml:space="preserve"> u</w:t>
                      </w:r>
                      <w:r w:rsidRPr="001728DC">
                        <w:t>nit cost at each level</w:t>
                      </w:r>
                      <w:r>
                        <w:t xml:space="preserve"> (relative to SMD/SMD adjusted for standing charges) and converts to a p/kVA/day relative to </w:t>
                      </w:r>
                      <w:r w:rsidRPr="009E2F88">
                        <w:t>aggregate maximum load</w:t>
                      </w:r>
                      <w:r>
                        <w:t xml:space="preserve"> (see ‘Standing’ tab in model).</w:t>
                      </w:r>
                    </w:p>
                  </w:txbxContent>
                </v:textbox>
              </v:shape>
            </w:pict>
          </mc:Fallback>
        </mc:AlternateContent>
      </w:r>
    </w:p>
    <w:p w:rsidR="001728DC" w:rsidRDefault="001728DC" w:rsidP="00662202">
      <w:pPr>
        <w:spacing w:after="0" w:line="240" w:lineRule="auto"/>
      </w:pPr>
    </w:p>
    <w:p w:rsidR="001728DC" w:rsidRDefault="001728DC" w:rsidP="00662202">
      <w:pPr>
        <w:spacing w:after="0" w:line="240" w:lineRule="auto"/>
      </w:pPr>
    </w:p>
    <w:p w:rsidR="001728DC" w:rsidRDefault="001728DC" w:rsidP="00662202">
      <w:pPr>
        <w:spacing w:after="0" w:line="240" w:lineRule="auto"/>
      </w:pPr>
    </w:p>
    <w:p w:rsidR="001728DC" w:rsidRDefault="00662202" w:rsidP="00662202">
      <w:pPr>
        <w:spacing w:after="0" w:line="240" w:lineRule="auto"/>
      </w:pPr>
      <w:r w:rsidRPr="00662202">
        <w:t>[p/kVA/day from transmission exit or other expenditure] = 100*[standing charge factor]*[ transmission exit or other expenditure £/kW/year]*[user loss</w:t>
      </w:r>
      <w:r w:rsidR="0025116E">
        <w:t xml:space="preserve"> </w:t>
      </w:r>
      <w:r w:rsidRPr="00662202">
        <w:t>factor]/[network level loss factor]/[days in year]/(1 + [diversity allowance])*[power factor in network model]</w:t>
      </w:r>
    </w:p>
    <w:p w:rsidR="0025116E" w:rsidRPr="00662202" w:rsidRDefault="0025116E" w:rsidP="00662202">
      <w:pPr>
        <w:spacing w:after="0" w:line="240" w:lineRule="auto"/>
      </w:pPr>
    </w:p>
    <w:p w:rsidR="00662202" w:rsidRDefault="00662202" w:rsidP="00662202">
      <w:pPr>
        <w:spacing w:after="0" w:line="240" w:lineRule="auto"/>
      </w:pPr>
      <w:r w:rsidRPr="00662202">
        <w:t>79. The power factor in network model parameter is set to 0.95.</w:t>
      </w:r>
    </w:p>
    <w:p w:rsidR="0025116E" w:rsidRPr="00662202" w:rsidRDefault="0025116E" w:rsidP="00662202">
      <w:pPr>
        <w:spacing w:after="0" w:line="240" w:lineRule="auto"/>
      </w:pPr>
    </w:p>
    <w:p w:rsidR="00662202" w:rsidRDefault="00662202" w:rsidP="00662202">
      <w:pPr>
        <w:spacing w:after="0" w:line="240" w:lineRule="auto"/>
      </w:pPr>
      <w:r w:rsidRPr="00662202">
        <w:lastRenderedPageBreak/>
        <w:t>80. The diversity allowance for the LV circuit level is defined as the amount by which the aggregate maximum demand load determined for that network level exceeds the estimated demand at the time of system simultaneous maximum load. The aggregate maximum demand is calculated by aggregating agreed import capacities for half hourly settled users and estimated capacities for non half hourly settled user groups.</w:t>
      </w:r>
    </w:p>
    <w:p w:rsidR="009E2F88" w:rsidRDefault="009E2F88" w:rsidP="00662202">
      <w:pPr>
        <w:spacing w:after="0" w:line="240" w:lineRule="auto"/>
      </w:pPr>
    </w:p>
    <w:p w:rsidR="009E2F88" w:rsidRDefault="009152AF" w:rsidP="00662202">
      <w:pPr>
        <w:spacing w:after="0" w:line="240" w:lineRule="auto"/>
      </w:pPr>
      <w:r>
        <w:rPr>
          <w:noProof/>
        </w:rPr>
        <mc:AlternateContent>
          <mc:Choice Requires="wps">
            <w:drawing>
              <wp:anchor distT="0" distB="0" distL="114300" distR="114300" simplePos="0" relativeHeight="251668480" behindDoc="0" locked="0" layoutInCell="1" allowOverlap="1">
                <wp:simplePos x="0" y="0"/>
                <wp:positionH relativeFrom="column">
                  <wp:posOffset>-13335</wp:posOffset>
                </wp:positionH>
                <wp:positionV relativeFrom="paragraph">
                  <wp:posOffset>41910</wp:posOffset>
                </wp:positionV>
                <wp:extent cx="6491605" cy="441960"/>
                <wp:effectExtent l="11430" t="12700" r="12065" b="12065"/>
                <wp:wrapNone/>
                <wp:docPr id="2"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91605" cy="441960"/>
                        </a:xfrm>
                        <a:prstGeom prst="rect">
                          <a:avLst/>
                        </a:prstGeom>
                        <a:solidFill>
                          <a:srgbClr val="FFFFFF"/>
                        </a:solidFill>
                        <a:ln w="9525">
                          <a:solidFill>
                            <a:srgbClr val="000000"/>
                          </a:solidFill>
                          <a:miter lim="800000"/>
                          <a:headEnd/>
                          <a:tailEnd/>
                        </a:ln>
                      </wps:spPr>
                      <wps:txbx>
                        <w:txbxContent>
                          <w:p w:rsidR="00321D5F" w:rsidRDefault="00321D5F" w:rsidP="009E2F88">
                            <w:pPr>
                              <w:shd w:val="clear" w:color="auto" w:fill="FFC000"/>
                              <w:spacing w:after="0" w:line="240" w:lineRule="auto"/>
                            </w:pPr>
                            <w:r>
                              <w:t xml:space="preserve">Diversity for LV circuit level </w:t>
                            </w:r>
                            <w:r w:rsidR="00786FDF">
                              <w:t>calculated as explained earlier (para 63)</w:t>
                            </w:r>
                          </w:p>
                          <w:p w:rsidR="00321D5F" w:rsidRDefault="00321D5F" w:rsidP="009E2F88">
                            <w:pPr>
                              <w:shd w:val="clear" w:color="auto" w:fill="FFC000"/>
                              <w:spacing w:after="0" w:line="240" w:lineRule="auto"/>
                            </w:pP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id="Text Box 10" o:spid="_x0000_s1032" type="#_x0000_t202" style="position:absolute;margin-left:-1.05pt;margin-top:3.3pt;width:511.15pt;height:34.8pt;z-index:251668480;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QCThLgIAAFgEAAAOAAAAZHJzL2Uyb0RvYy54bWysVNuO0zAQfUfiHyy/0yRVWrZR09XSpQhp&#10;uUi7fIDjOImFY5ux26R8PWOn7VYLvCDyYHns8ZmZc2ayvh17RQ4CnDS6pNkspURobmqp25J+e9q9&#10;uaHEeaZrpowWJT0KR283r1+tB1uIuemMqgUQBNGuGGxJO+9tkSSOd6Jnbmas0HjZGOiZRxPapAY2&#10;IHqvknmaLpPBQG3BcOEcnt5Pl3QT8ZtGcP+laZzwRJUUc/NxhbhWYU02a1a0wGwn+SkN9g9Z9Exq&#10;DHqBumeekT3I36B6ycE40/gZN31imkZyEWvAarL0RTWPHbMi1oLkOHuhyf0/WP758BWIrEs6p0Sz&#10;HiV6EqMn78xIskjPYF2BXo8W/fyI5yhzLNXZB8O/O6LNtmO6FXcAZugEqzG9LBCbXD0NgrjCBZBq&#10;+GRqjMP23kSgsYE+cIdsEERHmY4XaUIuHA+X+SpbpgtKON7lebZaxuQSVpxfW3D+gzA9CZuSAkof&#10;0dnhwfmQDSvOLiGYM0rWO6lUNKCttgrIgWGb7OIXC3jhpjQZSrpazBcTAX+FSOP3J4heeux3JfuS&#10;3lycWBFoe6/r2I2eSTXtMWWlTzwG6iYS/ViNUbFlCBBorUx9RGLBTO2N44ibzsBPSgZs7ZK6H3sG&#10;ghL1UaM4qyzPwyxEI1+8naMB1zfV9Q3THKFK6imZtls/zc/egmw7jHRuhzsUdCcj189ZndLH9o0S&#10;nEYtzMe1Hb2efwibXwAAAP//AwBQSwMEFAAGAAgAAAAhAIQktPbcAAAACAEAAA8AAABkcnMvZG93&#10;bnJldi54bWxMj8FuwjAQRO+V+AdrkXpBYOOKtErjIIrEqScCvZt4m0SN18E2EP6+5tQeVzN687ZY&#10;j7ZnV/Shc6RguRDAkGpnOmoUHA+7+RuwEDUZ3TtCBXcMsC4nT4XOjbvRHq9VbFiCUMi1gjbGIec8&#10;1C1aHRZuQErZt/NWx3T6hhuvbwluey6FyLjVHaWFVg+4bbH+qS5WQXauXmafX2ZG+/vuw9d2ZbbH&#10;lVLP03HzDiziGP/K8NBP6lAmp5O7kAmsVzCXy9RMrAzYIxZSSGAnBa+ZBF4W/P8D5S8AAAD//wMA&#10;UEsBAi0AFAAGAAgAAAAhALaDOJL+AAAA4QEAABMAAAAAAAAAAAAAAAAAAAAAAFtDb250ZW50X1R5&#10;cGVzXS54bWxQSwECLQAUAAYACAAAACEAOP0h/9YAAACUAQAACwAAAAAAAAAAAAAAAAAvAQAAX3Jl&#10;bHMvLnJlbHNQSwECLQAUAAYACAAAACEAn0Ak4S4CAABYBAAADgAAAAAAAAAAAAAAAAAuAgAAZHJz&#10;L2Uyb0RvYy54bWxQSwECLQAUAAYACAAAACEAhCS09twAAAAIAQAADwAAAAAAAAAAAAAAAACIBAAA&#10;ZHJzL2Rvd25yZXYueG1sUEsFBgAAAAAEAAQA8wAAAJEFAAAAAA==&#10;">
                <v:textbox style="mso-fit-shape-to-text:t">
                  <w:txbxContent>
                    <w:p w:rsidR="00321D5F" w:rsidRDefault="00321D5F" w:rsidP="009E2F88">
                      <w:pPr>
                        <w:shd w:val="clear" w:color="auto" w:fill="FFC000"/>
                        <w:spacing w:after="0" w:line="240" w:lineRule="auto"/>
                      </w:pPr>
                      <w:r>
                        <w:t xml:space="preserve">Diversity for LV circuit level </w:t>
                      </w:r>
                      <w:r w:rsidR="00786FDF">
                        <w:t>calculated as explained earlier (para 63)</w:t>
                      </w:r>
                    </w:p>
                    <w:p w:rsidR="00321D5F" w:rsidRDefault="00321D5F" w:rsidP="009E2F88">
                      <w:pPr>
                        <w:shd w:val="clear" w:color="auto" w:fill="FFC000"/>
                        <w:spacing w:after="0" w:line="240" w:lineRule="auto"/>
                      </w:pPr>
                    </w:p>
                  </w:txbxContent>
                </v:textbox>
              </v:shape>
            </w:pict>
          </mc:Fallback>
        </mc:AlternateContent>
      </w:r>
    </w:p>
    <w:p w:rsidR="009E2F88" w:rsidRDefault="009E2F88" w:rsidP="00662202">
      <w:pPr>
        <w:spacing w:after="0" w:line="240" w:lineRule="auto"/>
      </w:pPr>
    </w:p>
    <w:p w:rsidR="0025116E" w:rsidRPr="00662202" w:rsidRDefault="0025116E" w:rsidP="00662202">
      <w:pPr>
        <w:spacing w:after="0" w:line="240" w:lineRule="auto"/>
      </w:pPr>
    </w:p>
    <w:p w:rsidR="009E2F88" w:rsidRDefault="009E2F88" w:rsidP="00662202">
      <w:pPr>
        <w:spacing w:after="0" w:line="240" w:lineRule="auto"/>
      </w:pPr>
    </w:p>
    <w:p w:rsidR="00662202" w:rsidRDefault="00662202" w:rsidP="00662202">
      <w:pPr>
        <w:spacing w:after="0" w:line="240" w:lineRule="auto"/>
      </w:pPr>
      <w:r w:rsidRPr="00662202">
        <w:t>81. For half hourly settled demand users, except unmetered users, the unit costs calculated by the formula above are allocated to the capacity charge.</w:t>
      </w:r>
    </w:p>
    <w:p w:rsidR="0025116E" w:rsidRPr="00662202" w:rsidRDefault="0025116E" w:rsidP="00662202">
      <w:pPr>
        <w:spacing w:after="0" w:line="240" w:lineRule="auto"/>
      </w:pPr>
    </w:p>
    <w:p w:rsidR="00662202" w:rsidRDefault="00662202" w:rsidP="00662202">
      <w:pPr>
        <w:spacing w:after="0" w:line="240" w:lineRule="auto"/>
      </w:pPr>
      <w:r w:rsidRPr="00662202">
        <w:t>82. Otherwise, the unit costs calculated by the formula above are allocated to the fixed charge.</w:t>
      </w:r>
    </w:p>
    <w:p w:rsidR="0025116E" w:rsidRPr="00662202" w:rsidRDefault="0025116E" w:rsidP="00662202">
      <w:pPr>
        <w:spacing w:after="0" w:line="240" w:lineRule="auto"/>
      </w:pPr>
    </w:p>
    <w:p w:rsidR="00662202" w:rsidRDefault="00662202" w:rsidP="00662202">
      <w:pPr>
        <w:spacing w:after="0" w:line="240" w:lineRule="auto"/>
      </w:pPr>
      <w:r w:rsidRPr="00662202">
        <w:t>83. For domestic users in profile classes 1 and 2, and for small business users in profile classes 3 and 4, LV costs are allocated to the fixed charge by estimating the proportion of LV network capacity used by these categories of users, and dividing the corresponding proportion of LV costs by the number of domestic and small business MPANs. Related MPANs are excluded from this calculation and are not subject to the resulting fixed charge.</w:t>
      </w:r>
    </w:p>
    <w:p w:rsidR="00321D5F" w:rsidRDefault="009152AF" w:rsidP="00662202">
      <w:pPr>
        <w:spacing w:after="0" w:line="240" w:lineRule="auto"/>
      </w:pPr>
      <w:r>
        <w:rPr>
          <w:noProof/>
        </w:rPr>
        <mc:AlternateContent>
          <mc:Choice Requires="wps">
            <w:drawing>
              <wp:anchor distT="0" distB="0" distL="114300" distR="114300" simplePos="0" relativeHeight="251669504" behindDoc="0" locked="0" layoutInCell="1" allowOverlap="1">
                <wp:simplePos x="0" y="0"/>
                <wp:positionH relativeFrom="column">
                  <wp:posOffset>-8255</wp:posOffset>
                </wp:positionH>
                <wp:positionV relativeFrom="paragraph">
                  <wp:posOffset>35560</wp:posOffset>
                </wp:positionV>
                <wp:extent cx="6491605" cy="612775"/>
                <wp:effectExtent l="12065" t="6985" r="11430" b="8890"/>
                <wp:wrapNone/>
                <wp:docPr id="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91605" cy="612775"/>
                        </a:xfrm>
                        <a:prstGeom prst="rect">
                          <a:avLst/>
                        </a:prstGeom>
                        <a:solidFill>
                          <a:srgbClr val="FFFFFF"/>
                        </a:solidFill>
                        <a:ln w="9525">
                          <a:solidFill>
                            <a:srgbClr val="000000"/>
                          </a:solidFill>
                          <a:miter lim="800000"/>
                          <a:headEnd/>
                          <a:tailEnd/>
                        </a:ln>
                      </wps:spPr>
                      <wps:txbx>
                        <w:txbxContent>
                          <w:p w:rsidR="00321D5F" w:rsidRDefault="00321D5F" w:rsidP="00321D5F">
                            <w:pPr>
                              <w:shd w:val="clear" w:color="auto" w:fill="FFC000"/>
                              <w:spacing w:after="0" w:line="240" w:lineRule="auto"/>
                            </w:pPr>
                            <w:r>
                              <w:t>For NHH tariffs, takes the p/kVA/day derived above (para 78) and multiplies by average kVA/cust to give p/cust/day (see ‘Agg Cap’ tab).</w:t>
                            </w:r>
                          </w:p>
                          <w:p w:rsidR="00321D5F" w:rsidRDefault="00321D5F" w:rsidP="00321D5F">
                            <w:pPr>
                              <w:shd w:val="clear" w:color="auto" w:fill="FFC000"/>
                              <w:spacing w:after="0" w:line="240" w:lineRule="auto"/>
                            </w:pPr>
                            <w:r>
                              <w:t>PC1-4 assumed to be a single customer type with single kVA/cust for this purpose</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id="Text Box 11" o:spid="_x0000_s1033" type="#_x0000_t202" style="position:absolute;margin-left:-.65pt;margin-top:2.8pt;width:511.15pt;height:48.25pt;z-index:251669504;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O2i3LQIAAFgEAAAOAAAAZHJzL2Uyb0RvYy54bWysVNuO0zAQfUfiHyy/0yRVL9uo6WrpUoS0&#10;XKRdPsBxnMTC8RjbbVK+nrHTlgh4QuTB8njGxzPnzGR7P3SKnIR1EnRBs1lKidAcKqmbgn59Oby5&#10;o8R5piumQIuCnoWj97vXr7a9ycUcWlCVsARBtMt7U9DWe5MnieOt6JibgREanTXYjnk0bZNUlvWI&#10;3qlknqarpAdbGQtcOIenj6OT7iJ+XQvuP9e1E56ogmJuPq42rmVYk92W5Y1lppX8kgb7hyw6JjU+&#10;eoN6ZJ6Ro5V/QHWSW3BQ+xmHLoG6llzEGrCaLP2tmueWGRFrQXKcudHk/h8s/3T6YomsUDtKNOtQ&#10;ohcxePIWBpJlgZ7euByjng3G+QHPQ2go1Zkn4N8c0bBvmW7Eg7XQt4JVmF68mUyujjgugJT9R6jw&#10;HXb0EIGG2nYBENkgiI4ynW/ShFw4Hq4Wm2yVLinh6Ftl8/V6GZJLWH69bazz7wV0JGwKalH6iM5O&#10;T86PodeQmD0oWR2kUtGwTblXlpwYtskhfhd0Nw1TmvQF3Szny5GAqc9NIdL4/Q2ikx77XcmuoHe3&#10;IJYH2t7pKnajZ1KNe6xOaSwy8BioG0n0QzlExdZXeUqozkishbG9cRxx04L9QUmPrV1Q9/3IrKBE&#10;fdAoziZbLMIsRGOxXM/RsFNPOfUwzRGqoJ6Scbv34/wcjZVNiy9d2+EBBT3IyHXIeMzqkj62b1Tr&#10;MmphPqZ2jPr1Q9j9BAAA//8DAFBLAwQUAAYACAAAACEACBuiDtwAAAAJAQAADwAAAGRycy9kb3du&#10;cmV2LnhtbEyPwW7CMBBE75X6D9Yi9YLACShRlcZBLRKnnkjpfYm3SUS8Tm0D4e9r1EN729GMZt+U&#10;m8kM4kLO95YVpMsEBHFjdc+tgsPHbvEMwgdkjYNlUnAjD5vq8aHEQtsr7+lSh1bEEvYFKuhCGAsp&#10;fdORQb+0I3H0vqwzGKJ0rdQOr7HcDHKVJLk02HP80OFI246aU302CvLvej1//9Rz3t92b64xmd4e&#10;MqWeZtPrC4hAU/gLwx0/okMVmY72zNqLQcEiXcekgiwHcbeTVRq3HX8vkFUp/y+ofgAAAP//AwBQ&#10;SwECLQAUAAYACAAAACEAtoM4kv4AAADhAQAAEwAAAAAAAAAAAAAAAAAAAAAAW0NvbnRlbnRfVHlw&#10;ZXNdLnhtbFBLAQItABQABgAIAAAAIQA4/SH/1gAAAJQBAAALAAAAAAAAAAAAAAAAAC8BAABfcmVs&#10;cy8ucmVsc1BLAQItABQABgAIAAAAIQDwO2i3LQIAAFgEAAAOAAAAAAAAAAAAAAAAAC4CAABkcnMv&#10;ZTJvRG9jLnhtbFBLAQItABQABgAIAAAAIQAIG6IO3AAAAAkBAAAPAAAAAAAAAAAAAAAAAIcEAABk&#10;cnMvZG93bnJldi54bWxQSwUGAAAAAAQABADzAAAAkAUAAAAA&#10;">
                <v:textbox style="mso-fit-shape-to-text:t">
                  <w:txbxContent>
                    <w:p w:rsidR="00321D5F" w:rsidRDefault="00321D5F" w:rsidP="00321D5F">
                      <w:pPr>
                        <w:shd w:val="clear" w:color="auto" w:fill="FFC000"/>
                        <w:spacing w:after="0" w:line="240" w:lineRule="auto"/>
                      </w:pPr>
                      <w:r>
                        <w:t>For NHH tariffs, takes the p/kVA/day derived above (para 78) and multiplies by average kVA/cust to give p/cust/day (see ‘Agg Cap’ tab).</w:t>
                      </w:r>
                    </w:p>
                    <w:p w:rsidR="00321D5F" w:rsidRDefault="00321D5F" w:rsidP="00321D5F">
                      <w:pPr>
                        <w:shd w:val="clear" w:color="auto" w:fill="FFC000"/>
                        <w:spacing w:after="0" w:line="240" w:lineRule="auto"/>
                      </w:pPr>
                      <w:r>
                        <w:t>PC1-4 assumed to be a single customer type with single kVA/cust for this purpose</w:t>
                      </w:r>
                    </w:p>
                  </w:txbxContent>
                </v:textbox>
              </v:shape>
            </w:pict>
          </mc:Fallback>
        </mc:AlternateContent>
      </w:r>
    </w:p>
    <w:p w:rsidR="00321D5F" w:rsidRDefault="00321D5F" w:rsidP="00662202">
      <w:pPr>
        <w:spacing w:after="0" w:line="240" w:lineRule="auto"/>
      </w:pPr>
    </w:p>
    <w:p w:rsidR="00321D5F" w:rsidRDefault="00321D5F" w:rsidP="00662202">
      <w:pPr>
        <w:spacing w:after="0" w:line="240" w:lineRule="auto"/>
      </w:pPr>
    </w:p>
    <w:p w:rsidR="0025116E" w:rsidRPr="00662202" w:rsidRDefault="0025116E" w:rsidP="00662202">
      <w:pPr>
        <w:spacing w:after="0" w:line="240" w:lineRule="auto"/>
      </w:pPr>
    </w:p>
    <w:p w:rsidR="00321D5F" w:rsidRDefault="00321D5F" w:rsidP="00662202">
      <w:pPr>
        <w:spacing w:after="0" w:line="240" w:lineRule="auto"/>
      </w:pPr>
    </w:p>
    <w:p w:rsidR="00E5006C" w:rsidRPr="00662202" w:rsidRDefault="00662202" w:rsidP="00662202">
      <w:pPr>
        <w:spacing w:after="0" w:line="240" w:lineRule="auto"/>
      </w:pPr>
      <w:r w:rsidRPr="00662202">
        <w:t>84. For non half hourly settled demand users, except unmetered users, the relevant unit costs in p/kVA/day are converted to a fixed charge by multiplying them by the estimated maximum load per user of the user category (obtained from the volume forecast and load factor data) divided by the power factor in the network model.</w:t>
      </w:r>
    </w:p>
    <w:sectPr w:rsidR="00E5006C" w:rsidRPr="00662202" w:rsidSect="00360A88">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7342EB"/>
    <w:multiLevelType w:val="hybridMultilevel"/>
    <w:tmpl w:val="F438C7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780E7DDE"/>
    <w:multiLevelType w:val="hybridMultilevel"/>
    <w:tmpl w:val="EA2677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10"/>
  <w:displayHorizontalDrawingGridEvery w:val="2"/>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5006C"/>
    <w:rsid w:val="000F33C8"/>
    <w:rsid w:val="000F6A37"/>
    <w:rsid w:val="00112626"/>
    <w:rsid w:val="001338C1"/>
    <w:rsid w:val="001728DC"/>
    <w:rsid w:val="00214B9F"/>
    <w:rsid w:val="0025116E"/>
    <w:rsid w:val="002E650E"/>
    <w:rsid w:val="00303BF4"/>
    <w:rsid w:val="00316C09"/>
    <w:rsid w:val="00321D5F"/>
    <w:rsid w:val="00357433"/>
    <w:rsid w:val="00360A88"/>
    <w:rsid w:val="00606AA0"/>
    <w:rsid w:val="00662202"/>
    <w:rsid w:val="00786FDF"/>
    <w:rsid w:val="007C1A4C"/>
    <w:rsid w:val="009152AF"/>
    <w:rsid w:val="009619ED"/>
    <w:rsid w:val="009E2F88"/>
    <w:rsid w:val="00B260D0"/>
    <w:rsid w:val="00DC10C9"/>
    <w:rsid w:val="00E4016A"/>
    <w:rsid w:val="00E5006C"/>
    <w:rsid w:val="00EC433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3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E5006C"/>
    <w:pPr>
      <w:autoSpaceDE w:val="0"/>
      <w:autoSpaceDN w:val="0"/>
      <w:adjustRightInd w:val="0"/>
      <w:spacing w:after="0" w:line="240" w:lineRule="auto"/>
    </w:pPr>
    <w:rPr>
      <w:rFonts w:ascii="Times New Roman" w:hAnsi="Times New Roman" w:cs="Times New Roman"/>
      <w:color w:val="000000"/>
      <w:sz w:val="24"/>
      <w:szCs w:val="24"/>
    </w:rPr>
  </w:style>
  <w:style w:type="table" w:styleId="TableGrid">
    <w:name w:val="Table Grid"/>
    <w:basedOn w:val="TableNormal"/>
    <w:uiPriority w:val="59"/>
    <w:rsid w:val="00E5006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66220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62202"/>
    <w:rPr>
      <w:rFonts w:ascii="Tahoma" w:hAnsi="Tahoma" w:cs="Tahoma"/>
      <w:sz w:val="16"/>
      <w:szCs w:val="16"/>
    </w:rPr>
  </w:style>
  <w:style w:type="paragraph" w:styleId="ListParagraph">
    <w:name w:val="List Paragraph"/>
    <w:basedOn w:val="Normal"/>
    <w:uiPriority w:val="34"/>
    <w:qFormat/>
    <w:rsid w:val="00214B9F"/>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E5006C"/>
    <w:pPr>
      <w:autoSpaceDE w:val="0"/>
      <w:autoSpaceDN w:val="0"/>
      <w:adjustRightInd w:val="0"/>
      <w:spacing w:after="0" w:line="240" w:lineRule="auto"/>
    </w:pPr>
    <w:rPr>
      <w:rFonts w:ascii="Times New Roman" w:hAnsi="Times New Roman" w:cs="Times New Roman"/>
      <w:color w:val="000000"/>
      <w:sz w:val="24"/>
      <w:szCs w:val="24"/>
    </w:rPr>
  </w:style>
  <w:style w:type="table" w:styleId="TableGrid">
    <w:name w:val="Table Grid"/>
    <w:basedOn w:val="TableNormal"/>
    <w:uiPriority w:val="59"/>
    <w:rsid w:val="00E5006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66220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62202"/>
    <w:rPr>
      <w:rFonts w:ascii="Tahoma" w:hAnsi="Tahoma" w:cs="Tahoma"/>
      <w:sz w:val="16"/>
      <w:szCs w:val="16"/>
    </w:rPr>
  </w:style>
  <w:style w:type="paragraph" w:styleId="ListParagraph">
    <w:name w:val="List Paragraph"/>
    <w:basedOn w:val="Normal"/>
    <w:uiPriority w:val="34"/>
    <w:qFormat/>
    <w:rsid w:val="00214B9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1186</Words>
  <Characters>6762</Characters>
  <Application>Microsoft Office Word</Application>
  <DocSecurity>4</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Centrica</Company>
  <LinksUpToDate>false</LinksUpToDate>
  <CharactersWithSpaces>7933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Moran</dc:creator>
  <cp:lastModifiedBy>Claire Hynes</cp:lastModifiedBy>
  <cp:revision>2</cp:revision>
  <dcterms:created xsi:type="dcterms:W3CDTF">2015-01-22T09:43:00Z</dcterms:created>
  <dcterms:modified xsi:type="dcterms:W3CDTF">2015-01-22T09:43:00Z</dcterms:modified>
</cp:coreProperties>
</file>